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608" w:rsidRPr="00F13911" w:rsidRDefault="00EF7608" w:rsidP="00515491">
      <w:pPr>
        <w:spacing w:line="300" w:lineRule="auto"/>
        <w:ind w:left="1134"/>
        <w:jc w:val="center"/>
        <w:rPr>
          <w:rFonts w:asciiTheme="minorHAnsi" w:eastAsia="Times New Roman" w:hAnsiTheme="minorHAnsi" w:cstheme="minorHAnsi"/>
          <w:sz w:val="32"/>
          <w:szCs w:val="32"/>
          <w:lang w:eastAsia="it-IT"/>
        </w:rPr>
      </w:pPr>
    </w:p>
    <w:p w:rsidR="00EF7608" w:rsidRPr="00F13911" w:rsidRDefault="00EF7608" w:rsidP="00515491">
      <w:pPr>
        <w:spacing w:line="300" w:lineRule="auto"/>
        <w:ind w:left="1134"/>
        <w:jc w:val="center"/>
        <w:rPr>
          <w:rFonts w:asciiTheme="minorHAnsi" w:eastAsia="Times New Roman" w:hAnsiTheme="minorHAnsi" w:cstheme="minorHAnsi"/>
          <w:b/>
          <w:sz w:val="32"/>
          <w:szCs w:val="32"/>
          <w:lang w:eastAsia="it-IT"/>
        </w:rPr>
      </w:pPr>
      <w:r w:rsidRPr="00F13911">
        <w:rPr>
          <w:rFonts w:asciiTheme="minorHAnsi" w:eastAsia="Times New Roman" w:hAnsiTheme="minorHAnsi" w:cstheme="minorHAnsi"/>
          <w:b/>
          <w:sz w:val="32"/>
          <w:szCs w:val="32"/>
          <w:lang w:eastAsia="it-IT"/>
        </w:rPr>
        <w:t>Disegno di legge 5263/C</w:t>
      </w:r>
    </w:p>
    <w:p w:rsidR="00EF7608" w:rsidRPr="00F13911" w:rsidRDefault="00EF7608" w:rsidP="00515491">
      <w:pPr>
        <w:spacing w:line="300" w:lineRule="auto"/>
        <w:ind w:left="1134"/>
        <w:jc w:val="center"/>
        <w:rPr>
          <w:rFonts w:asciiTheme="minorHAnsi" w:eastAsia="Times New Roman" w:hAnsiTheme="minorHAnsi" w:cstheme="minorHAnsi"/>
          <w:b/>
          <w:sz w:val="32"/>
          <w:szCs w:val="32"/>
          <w:lang w:eastAsia="it-IT"/>
        </w:rPr>
      </w:pPr>
    </w:p>
    <w:p w:rsidR="00F13911" w:rsidRPr="00F13911" w:rsidRDefault="00F13911" w:rsidP="00515491">
      <w:pPr>
        <w:spacing w:line="300" w:lineRule="auto"/>
        <w:ind w:left="1134"/>
        <w:jc w:val="center"/>
        <w:rPr>
          <w:rFonts w:asciiTheme="minorHAnsi" w:eastAsia="Times New Roman" w:hAnsiTheme="minorHAnsi" w:cstheme="minorHAnsi"/>
          <w:b/>
          <w:sz w:val="32"/>
          <w:szCs w:val="32"/>
          <w:lang w:eastAsia="it-IT"/>
        </w:rPr>
      </w:pPr>
    </w:p>
    <w:p w:rsidR="00EF7608" w:rsidRPr="00F13911" w:rsidRDefault="00EF7608" w:rsidP="00515491">
      <w:pPr>
        <w:spacing w:line="300" w:lineRule="auto"/>
        <w:ind w:left="1134"/>
        <w:jc w:val="center"/>
        <w:rPr>
          <w:rFonts w:asciiTheme="minorHAnsi" w:eastAsia="Times New Roman" w:hAnsiTheme="minorHAnsi" w:cstheme="minorHAnsi"/>
          <w:sz w:val="32"/>
          <w:szCs w:val="32"/>
          <w:lang w:eastAsia="it-IT"/>
        </w:rPr>
      </w:pPr>
      <w:r w:rsidRPr="00F13911">
        <w:rPr>
          <w:rFonts w:asciiTheme="minorHAnsi" w:eastAsia="Times New Roman" w:hAnsiTheme="minorHAnsi" w:cstheme="minorHAnsi"/>
          <w:b/>
          <w:sz w:val="32"/>
          <w:szCs w:val="32"/>
          <w:lang w:eastAsia="it-IT"/>
        </w:rPr>
        <w:t>Conversione in legge del decr</w:t>
      </w:r>
      <w:r w:rsidR="00C467C6" w:rsidRPr="00F13911">
        <w:rPr>
          <w:rFonts w:asciiTheme="minorHAnsi" w:eastAsia="Times New Roman" w:hAnsiTheme="minorHAnsi" w:cstheme="minorHAnsi"/>
          <w:b/>
          <w:sz w:val="32"/>
          <w:szCs w:val="32"/>
          <w:lang w:eastAsia="it-IT"/>
        </w:rPr>
        <w:t>eto-legge 6 giugno 2012, n.</w:t>
      </w:r>
      <w:r w:rsidR="001502E5" w:rsidRPr="00F13911">
        <w:rPr>
          <w:rFonts w:asciiTheme="minorHAnsi" w:eastAsia="Times New Roman" w:hAnsiTheme="minorHAnsi" w:cstheme="minorHAnsi"/>
          <w:b/>
          <w:sz w:val="32"/>
          <w:szCs w:val="32"/>
          <w:lang w:eastAsia="it-IT"/>
        </w:rPr>
        <w:t>74,</w:t>
      </w:r>
      <w:r w:rsidR="00C12437" w:rsidRPr="00F13911">
        <w:rPr>
          <w:rFonts w:asciiTheme="minorHAnsi" w:eastAsia="Times New Roman" w:hAnsiTheme="minorHAnsi" w:cstheme="minorHAnsi"/>
          <w:b/>
          <w:sz w:val="32"/>
          <w:szCs w:val="32"/>
          <w:lang w:eastAsia="it-IT"/>
        </w:rPr>
        <w:t xml:space="preserve"> </w:t>
      </w:r>
      <w:r w:rsidRPr="00F13911">
        <w:rPr>
          <w:rFonts w:asciiTheme="minorHAnsi" w:eastAsia="Times New Roman" w:hAnsiTheme="minorHAnsi" w:cstheme="minorHAnsi"/>
          <w:b/>
          <w:sz w:val="32"/>
          <w:szCs w:val="32"/>
          <w:lang w:eastAsia="it-IT"/>
        </w:rPr>
        <w:t>recante “</w:t>
      </w:r>
      <w:r w:rsidRPr="00F13911">
        <w:rPr>
          <w:rFonts w:asciiTheme="minorHAnsi" w:eastAsia="Times New Roman" w:hAnsiTheme="minorHAnsi" w:cstheme="minorHAnsi"/>
          <w:b/>
          <w:i/>
          <w:sz w:val="32"/>
          <w:szCs w:val="32"/>
          <w:lang w:eastAsia="it-IT"/>
        </w:rPr>
        <w:t>interventi urgenti in favore delle popolazioni colpite dagli eventi sismici che hanno interessato il territorio delle province di Bologna,</w:t>
      </w:r>
      <w:r w:rsidR="002E3C46" w:rsidRPr="00F13911">
        <w:rPr>
          <w:rFonts w:asciiTheme="minorHAnsi" w:eastAsia="Times New Roman" w:hAnsiTheme="minorHAnsi" w:cstheme="minorHAnsi"/>
          <w:b/>
          <w:i/>
          <w:sz w:val="32"/>
          <w:szCs w:val="32"/>
          <w:lang w:eastAsia="it-IT"/>
        </w:rPr>
        <w:t xml:space="preserve"> Modena,</w:t>
      </w:r>
      <w:r w:rsidRPr="00F13911">
        <w:rPr>
          <w:rFonts w:asciiTheme="minorHAnsi" w:eastAsia="Times New Roman" w:hAnsiTheme="minorHAnsi" w:cstheme="minorHAnsi"/>
          <w:b/>
          <w:i/>
          <w:sz w:val="32"/>
          <w:szCs w:val="32"/>
          <w:lang w:eastAsia="it-IT"/>
        </w:rPr>
        <w:t xml:space="preserve"> Ferrara, Mantova, Reggio Emilia e Rovigo, il 20 e il 29 maggio 2012</w:t>
      </w:r>
      <w:r w:rsidRPr="00F13911">
        <w:rPr>
          <w:rFonts w:asciiTheme="minorHAnsi" w:eastAsia="Times New Roman" w:hAnsiTheme="minorHAnsi" w:cstheme="minorHAnsi"/>
          <w:b/>
          <w:sz w:val="32"/>
          <w:szCs w:val="32"/>
          <w:lang w:eastAsia="it-IT"/>
        </w:rPr>
        <w:t>”</w:t>
      </w:r>
    </w:p>
    <w:p w:rsidR="00EF7608" w:rsidRPr="00F13911" w:rsidRDefault="00EF7608" w:rsidP="00515491">
      <w:pPr>
        <w:spacing w:line="300" w:lineRule="auto"/>
        <w:ind w:left="1134"/>
        <w:jc w:val="center"/>
        <w:rPr>
          <w:rFonts w:asciiTheme="minorHAnsi" w:eastAsia="Times New Roman" w:hAnsiTheme="minorHAnsi" w:cstheme="minorHAnsi"/>
          <w:sz w:val="32"/>
          <w:szCs w:val="32"/>
          <w:lang w:eastAsia="it-IT"/>
        </w:rPr>
      </w:pPr>
    </w:p>
    <w:p w:rsidR="00EF7608" w:rsidRPr="00F13911" w:rsidRDefault="00EF7608" w:rsidP="00515491">
      <w:pPr>
        <w:spacing w:line="300" w:lineRule="auto"/>
        <w:ind w:left="1134"/>
        <w:jc w:val="center"/>
        <w:rPr>
          <w:rFonts w:asciiTheme="minorHAnsi" w:eastAsia="Times New Roman" w:hAnsiTheme="minorHAnsi" w:cstheme="minorHAnsi"/>
          <w:sz w:val="32"/>
          <w:szCs w:val="32"/>
          <w:lang w:eastAsia="it-IT"/>
        </w:rPr>
      </w:pPr>
    </w:p>
    <w:p w:rsidR="00EF7608" w:rsidRPr="00F13911" w:rsidRDefault="00EF7608" w:rsidP="00515491">
      <w:pPr>
        <w:spacing w:line="300" w:lineRule="auto"/>
        <w:ind w:left="1134"/>
        <w:jc w:val="center"/>
        <w:rPr>
          <w:rFonts w:asciiTheme="minorHAnsi" w:eastAsia="Times New Roman" w:hAnsiTheme="minorHAnsi" w:cstheme="minorHAnsi"/>
          <w:sz w:val="32"/>
          <w:szCs w:val="32"/>
          <w:lang w:eastAsia="it-IT"/>
        </w:rPr>
      </w:pPr>
    </w:p>
    <w:p w:rsidR="00EF7608" w:rsidRPr="00F13911" w:rsidRDefault="00EF7608" w:rsidP="00515491">
      <w:pPr>
        <w:spacing w:line="300" w:lineRule="auto"/>
        <w:ind w:left="1134"/>
        <w:jc w:val="center"/>
        <w:rPr>
          <w:rFonts w:asciiTheme="minorHAnsi" w:eastAsia="Times New Roman" w:hAnsiTheme="minorHAnsi" w:cstheme="minorHAnsi"/>
          <w:b/>
          <w:i/>
          <w:sz w:val="32"/>
          <w:szCs w:val="32"/>
          <w:lang w:eastAsia="it-IT"/>
        </w:rPr>
      </w:pPr>
      <w:r w:rsidRPr="00F13911">
        <w:rPr>
          <w:rFonts w:asciiTheme="minorHAnsi" w:eastAsia="Times New Roman" w:hAnsiTheme="minorHAnsi" w:cstheme="minorHAnsi"/>
          <w:b/>
          <w:sz w:val="32"/>
          <w:szCs w:val="32"/>
          <w:lang w:eastAsia="it-IT"/>
        </w:rPr>
        <w:t>Audizione dell'ANCE</w:t>
      </w:r>
      <w:r w:rsidR="00C467C6" w:rsidRPr="00F13911">
        <w:rPr>
          <w:rFonts w:asciiTheme="minorHAnsi" w:eastAsia="Times New Roman" w:hAnsiTheme="minorHAnsi" w:cstheme="minorHAnsi"/>
          <w:b/>
          <w:sz w:val="32"/>
          <w:szCs w:val="32"/>
          <w:lang w:eastAsia="it-IT"/>
        </w:rPr>
        <w:t xml:space="preserve"> </w:t>
      </w:r>
      <w:r w:rsidRPr="00F13911">
        <w:rPr>
          <w:rFonts w:asciiTheme="minorHAnsi" w:eastAsia="Times New Roman" w:hAnsiTheme="minorHAnsi" w:cstheme="minorHAnsi"/>
          <w:b/>
          <w:sz w:val="32"/>
          <w:szCs w:val="32"/>
          <w:lang w:eastAsia="it-IT"/>
        </w:rPr>
        <w:t>presso la VIII Commissione "Ambiente, Territorio e lavori pubblici"</w:t>
      </w:r>
      <w:r w:rsidR="00F13911" w:rsidRPr="00F13911">
        <w:rPr>
          <w:rFonts w:asciiTheme="minorHAnsi" w:eastAsia="Times New Roman" w:hAnsiTheme="minorHAnsi" w:cstheme="minorHAnsi"/>
          <w:b/>
          <w:sz w:val="32"/>
          <w:szCs w:val="32"/>
          <w:lang w:eastAsia="it-IT"/>
        </w:rPr>
        <w:t xml:space="preserve"> </w:t>
      </w:r>
      <w:r w:rsidRPr="00F13911">
        <w:rPr>
          <w:rFonts w:asciiTheme="minorHAnsi" w:eastAsia="Times New Roman" w:hAnsiTheme="minorHAnsi" w:cstheme="minorHAnsi"/>
          <w:b/>
          <w:sz w:val="32"/>
          <w:szCs w:val="32"/>
          <w:lang w:eastAsia="it-IT"/>
        </w:rPr>
        <w:t>della Camera dei Deputati</w:t>
      </w:r>
    </w:p>
    <w:p w:rsidR="00960CAB" w:rsidRPr="00F13911" w:rsidRDefault="00960CAB" w:rsidP="00515491">
      <w:pPr>
        <w:spacing w:line="300" w:lineRule="auto"/>
        <w:ind w:left="1134"/>
        <w:jc w:val="center"/>
        <w:rPr>
          <w:rFonts w:asciiTheme="minorHAnsi" w:eastAsia="Times New Roman" w:hAnsiTheme="minorHAnsi" w:cstheme="minorHAnsi"/>
          <w:sz w:val="32"/>
          <w:szCs w:val="32"/>
          <w:lang w:eastAsia="it-IT"/>
        </w:rPr>
      </w:pPr>
    </w:p>
    <w:p w:rsidR="00F13911" w:rsidRPr="00F13911" w:rsidRDefault="00F13911" w:rsidP="00515491">
      <w:pPr>
        <w:spacing w:line="300" w:lineRule="auto"/>
        <w:ind w:left="1134"/>
        <w:jc w:val="center"/>
        <w:rPr>
          <w:rFonts w:asciiTheme="minorHAnsi" w:eastAsia="Times New Roman" w:hAnsiTheme="minorHAnsi" w:cstheme="minorHAnsi"/>
          <w:sz w:val="32"/>
          <w:szCs w:val="32"/>
          <w:lang w:eastAsia="it-IT"/>
        </w:rPr>
      </w:pPr>
    </w:p>
    <w:p w:rsidR="0027068D" w:rsidRPr="00F13911" w:rsidRDefault="0027068D" w:rsidP="00515491">
      <w:pPr>
        <w:spacing w:line="300" w:lineRule="auto"/>
        <w:ind w:left="1134"/>
        <w:jc w:val="center"/>
        <w:rPr>
          <w:rFonts w:asciiTheme="minorHAnsi" w:eastAsia="Times New Roman" w:hAnsiTheme="minorHAnsi" w:cstheme="minorHAnsi"/>
          <w:sz w:val="32"/>
          <w:szCs w:val="32"/>
          <w:lang w:eastAsia="it-IT"/>
        </w:rPr>
      </w:pPr>
    </w:p>
    <w:p w:rsidR="00F13911" w:rsidRPr="00F13911" w:rsidRDefault="00960CAB" w:rsidP="00515491">
      <w:pPr>
        <w:spacing w:line="300" w:lineRule="auto"/>
        <w:ind w:left="1134"/>
        <w:jc w:val="center"/>
        <w:rPr>
          <w:rFonts w:asciiTheme="minorHAnsi" w:eastAsia="Times New Roman" w:hAnsiTheme="minorHAnsi" w:cstheme="minorHAnsi"/>
          <w:b/>
          <w:sz w:val="32"/>
          <w:szCs w:val="32"/>
          <w:lang w:eastAsia="it-IT"/>
        </w:rPr>
      </w:pPr>
      <w:r w:rsidRPr="00F13911">
        <w:rPr>
          <w:rFonts w:asciiTheme="minorHAnsi" w:eastAsia="Times New Roman" w:hAnsiTheme="minorHAnsi" w:cstheme="minorHAnsi"/>
          <w:b/>
          <w:sz w:val="32"/>
          <w:szCs w:val="32"/>
          <w:lang w:eastAsia="it-IT"/>
        </w:rPr>
        <w:t>20 giugno 2012</w:t>
      </w:r>
    </w:p>
    <w:p w:rsidR="00EF7608" w:rsidRPr="003A4A57" w:rsidRDefault="004B2E6A" w:rsidP="00515491">
      <w:pPr>
        <w:spacing w:line="300" w:lineRule="auto"/>
        <w:ind w:left="1134"/>
        <w:jc w:val="center"/>
        <w:rPr>
          <w:rFonts w:asciiTheme="minorHAnsi" w:eastAsia="Times New Roman" w:hAnsiTheme="minorHAnsi" w:cstheme="minorHAnsi"/>
          <w:b/>
          <w:sz w:val="28"/>
          <w:szCs w:val="28"/>
          <w:lang w:eastAsia="it-IT"/>
        </w:rPr>
      </w:pPr>
      <w:r w:rsidRPr="003A4A57">
        <w:rPr>
          <w:rFonts w:asciiTheme="minorHAnsi" w:eastAsia="Times New Roman" w:hAnsiTheme="minorHAnsi" w:cstheme="minorHAnsi"/>
          <w:lang w:eastAsia="it-IT"/>
        </w:rPr>
        <w:br w:type="page"/>
      </w:r>
    </w:p>
    <w:tbl>
      <w:tblPr>
        <w:tblW w:w="5000" w:type="pct"/>
        <w:tblLook w:val="04A0" w:firstRow="1" w:lastRow="0" w:firstColumn="1" w:lastColumn="0" w:noHBand="0" w:noVBand="1"/>
      </w:tblPr>
      <w:tblGrid>
        <w:gridCol w:w="1858"/>
        <w:gridCol w:w="7422"/>
      </w:tblGrid>
      <w:tr w:rsidR="008279F9" w:rsidRPr="003A4A57" w:rsidTr="009B457F">
        <w:tc>
          <w:tcPr>
            <w:tcW w:w="1001" w:type="pct"/>
            <w:shd w:val="clear" w:color="auto" w:fill="F2F2F2" w:themeFill="background1" w:themeFillShade="F2"/>
          </w:tcPr>
          <w:p w:rsidR="008279F9" w:rsidRPr="003A4A57" w:rsidRDefault="008279F9" w:rsidP="00997F6C">
            <w:pPr>
              <w:spacing w:after="120"/>
              <w:rPr>
                <w:rFonts w:asciiTheme="minorHAnsi" w:eastAsia="Times New Roman" w:hAnsiTheme="minorHAnsi" w:cstheme="minorHAnsi"/>
                <w:b/>
                <w:i/>
                <w:sz w:val="22"/>
                <w:szCs w:val="22"/>
                <w:lang w:eastAsia="it-IT"/>
              </w:rPr>
            </w:pPr>
          </w:p>
        </w:tc>
        <w:tc>
          <w:tcPr>
            <w:tcW w:w="3999" w:type="pct"/>
            <w:shd w:val="clear" w:color="auto" w:fill="auto"/>
          </w:tcPr>
          <w:p w:rsidR="008279F9" w:rsidRPr="003A4A57" w:rsidRDefault="008279F9" w:rsidP="001C75B6">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b/>
                <w:sz w:val="28"/>
                <w:szCs w:val="28"/>
                <w:lang w:eastAsia="it-IT"/>
              </w:rPr>
              <w:t>Premessa</w:t>
            </w:r>
          </w:p>
        </w:tc>
      </w:tr>
      <w:tr w:rsidR="00EF7608" w:rsidRPr="003A4A57" w:rsidTr="009B457F">
        <w:tc>
          <w:tcPr>
            <w:tcW w:w="1001" w:type="pct"/>
            <w:shd w:val="clear" w:color="auto" w:fill="F2F2F2" w:themeFill="background1" w:themeFillShade="F2"/>
          </w:tcPr>
          <w:p w:rsidR="00EF7608" w:rsidRPr="003A4A57" w:rsidRDefault="00EF7608" w:rsidP="00997F6C">
            <w:pPr>
              <w:spacing w:after="120"/>
              <w:rPr>
                <w:rFonts w:asciiTheme="minorHAnsi" w:eastAsia="Times New Roman" w:hAnsiTheme="minorHAnsi" w:cstheme="minorHAnsi"/>
                <w:b/>
                <w:i/>
                <w:sz w:val="22"/>
                <w:szCs w:val="22"/>
                <w:lang w:eastAsia="it-IT"/>
              </w:rPr>
            </w:pPr>
            <w:r w:rsidRPr="003A4A57">
              <w:rPr>
                <w:rFonts w:asciiTheme="minorHAnsi" w:eastAsia="Times New Roman" w:hAnsiTheme="minorHAnsi" w:cstheme="minorHAnsi"/>
                <w:b/>
                <w:i/>
                <w:sz w:val="22"/>
                <w:szCs w:val="22"/>
                <w:lang w:eastAsia="it-IT"/>
              </w:rPr>
              <w:t>La stima dei danni</w:t>
            </w:r>
          </w:p>
        </w:tc>
        <w:tc>
          <w:tcPr>
            <w:tcW w:w="3999" w:type="pct"/>
            <w:shd w:val="clear" w:color="auto" w:fill="auto"/>
          </w:tcPr>
          <w:p w:rsidR="00E946E9" w:rsidRPr="003A4A57" w:rsidRDefault="00EF7608" w:rsidP="00997F6C">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 xml:space="preserve">Gli eventi sismici che hanno colpito l’area dell’Emilia Romagna e, in parte della Lombardia e del Veneto, riportano nuovamente e con forza  l’attenzione sulla necessità di ripensare a soluzioni di </w:t>
            </w:r>
            <w:proofErr w:type="spellStart"/>
            <w:r w:rsidRPr="003A4A57">
              <w:rPr>
                <w:rFonts w:asciiTheme="minorHAnsi" w:eastAsia="Times New Roman" w:hAnsiTheme="minorHAnsi" w:cstheme="minorHAnsi"/>
                <w:i/>
                <w:lang w:eastAsia="it-IT"/>
              </w:rPr>
              <w:t>governance</w:t>
            </w:r>
            <w:proofErr w:type="spellEnd"/>
            <w:r w:rsidRPr="003A4A57">
              <w:rPr>
                <w:rFonts w:asciiTheme="minorHAnsi" w:eastAsia="Times New Roman" w:hAnsiTheme="minorHAnsi" w:cstheme="minorHAnsi"/>
                <w:i/>
                <w:lang w:eastAsia="it-IT"/>
              </w:rPr>
              <w:t xml:space="preserve"> </w:t>
            </w:r>
            <w:r w:rsidRPr="003A4A57">
              <w:rPr>
                <w:rFonts w:asciiTheme="minorHAnsi" w:eastAsia="Times New Roman" w:hAnsiTheme="minorHAnsi" w:cstheme="minorHAnsi"/>
                <w:lang w:eastAsia="it-IT"/>
              </w:rPr>
              <w:t>e a sistemi procedurali in grado di accelerare la ricostruzione e la ripresa economica dei territori interessati da questi tragici avvenimenti.</w:t>
            </w:r>
            <w:r w:rsidR="00E946E9" w:rsidRPr="003A4A57">
              <w:rPr>
                <w:rFonts w:asciiTheme="minorHAnsi" w:eastAsia="Times New Roman" w:hAnsiTheme="minorHAnsi" w:cstheme="minorHAnsi"/>
                <w:lang w:eastAsia="it-IT"/>
              </w:rPr>
              <w:t xml:space="preserve"> </w:t>
            </w:r>
          </w:p>
          <w:p w:rsidR="00E946E9" w:rsidRPr="003A4A57" w:rsidRDefault="00EF7608" w:rsidP="00997F6C">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Rispetto a quanto accaduto in Abruzzo la situazione padana differisce sia in termini di danni e  perdita di vite umane sia per le differenti caratteristiche territoriali.</w:t>
            </w:r>
            <w:r w:rsidR="00E946E9" w:rsidRPr="003A4A57">
              <w:rPr>
                <w:rFonts w:asciiTheme="minorHAnsi" w:eastAsia="Times New Roman" w:hAnsiTheme="minorHAnsi" w:cstheme="minorHAnsi"/>
                <w:lang w:eastAsia="it-IT"/>
              </w:rPr>
              <w:t xml:space="preserve"> </w:t>
            </w:r>
          </w:p>
          <w:p w:rsidR="00EF7608" w:rsidRPr="003A4A57" w:rsidRDefault="00EF7608" w:rsidP="00997F6C">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 xml:space="preserve">Se in Abruzzo il tessuto imprenditoriale e produttivo è stato meno interessato, in questo caso </w:t>
            </w:r>
            <w:r w:rsidRPr="003A4A57">
              <w:rPr>
                <w:rFonts w:asciiTheme="minorHAnsi" w:eastAsia="Times New Roman" w:hAnsiTheme="minorHAnsi" w:cstheme="minorHAnsi"/>
                <w:b/>
                <w:lang w:eastAsia="it-IT"/>
              </w:rPr>
              <w:t>l’edilizia non residenziale</w:t>
            </w:r>
            <w:r w:rsidRPr="003A4A57">
              <w:rPr>
                <w:rFonts w:asciiTheme="minorHAnsi" w:eastAsia="Times New Roman" w:hAnsiTheme="minorHAnsi" w:cstheme="minorHAnsi"/>
                <w:lang w:eastAsia="it-IT"/>
              </w:rPr>
              <w:t xml:space="preserve"> </w:t>
            </w:r>
            <w:r w:rsidR="00F762F7" w:rsidRPr="003A4A57">
              <w:rPr>
                <w:rFonts w:asciiTheme="minorHAnsi" w:eastAsia="Times New Roman" w:hAnsiTheme="minorHAnsi" w:cstheme="minorHAnsi"/>
                <w:lang w:eastAsia="it-IT"/>
              </w:rPr>
              <w:t>è</w:t>
            </w:r>
            <w:r w:rsidRPr="003A4A57">
              <w:rPr>
                <w:rFonts w:asciiTheme="minorHAnsi" w:eastAsia="Times New Roman" w:hAnsiTheme="minorHAnsi" w:cstheme="minorHAnsi"/>
                <w:lang w:eastAsia="it-IT"/>
              </w:rPr>
              <w:t xml:space="preserve"> stata </w:t>
            </w:r>
            <w:r w:rsidR="00F762F7" w:rsidRPr="003A4A57">
              <w:rPr>
                <w:rFonts w:asciiTheme="minorHAnsi" w:eastAsia="Times New Roman" w:hAnsiTheme="minorHAnsi" w:cstheme="minorHAnsi"/>
                <w:lang w:eastAsia="it-IT"/>
              </w:rPr>
              <w:t>fortemente</w:t>
            </w:r>
            <w:r w:rsidRPr="003A4A57">
              <w:rPr>
                <w:rFonts w:asciiTheme="minorHAnsi" w:eastAsia="Times New Roman" w:hAnsiTheme="minorHAnsi" w:cstheme="minorHAnsi"/>
                <w:lang w:eastAsia="it-IT"/>
              </w:rPr>
              <w:t xml:space="preserve"> colpita e quindi </w:t>
            </w:r>
            <w:r w:rsidR="00F762F7" w:rsidRPr="003A4A57">
              <w:rPr>
                <w:rFonts w:asciiTheme="minorHAnsi" w:eastAsia="Times New Roman" w:hAnsiTheme="minorHAnsi" w:cstheme="minorHAnsi"/>
                <w:lang w:eastAsia="it-IT"/>
              </w:rPr>
              <w:t>necessita</w:t>
            </w:r>
            <w:r w:rsidRPr="003A4A57">
              <w:rPr>
                <w:rFonts w:asciiTheme="minorHAnsi" w:eastAsia="Times New Roman" w:hAnsiTheme="minorHAnsi" w:cstheme="minorHAnsi"/>
                <w:lang w:eastAsia="it-IT"/>
              </w:rPr>
              <w:t xml:space="preserve"> di interventi/controlli in grado di fare ripartire al più presto il sistema produttivo garantendo però le condizioni di maggiore sicurezza possibile ai lavoratori.</w:t>
            </w:r>
          </w:p>
          <w:p w:rsidR="008279F9" w:rsidRPr="003A4A57" w:rsidRDefault="00EF7608" w:rsidP="00EE2A3C">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 xml:space="preserve">Per </w:t>
            </w:r>
            <w:r w:rsidRPr="003A4A57">
              <w:rPr>
                <w:rFonts w:asciiTheme="minorHAnsi" w:eastAsia="Times New Roman" w:hAnsiTheme="minorHAnsi" w:cstheme="minorHAnsi"/>
                <w:b/>
                <w:lang w:eastAsia="it-IT"/>
              </w:rPr>
              <w:t>il patrimonio abitativo</w:t>
            </w:r>
            <w:r w:rsidRPr="003A4A57">
              <w:rPr>
                <w:rFonts w:asciiTheme="minorHAnsi" w:eastAsia="Times New Roman" w:hAnsiTheme="minorHAnsi" w:cstheme="minorHAnsi"/>
                <w:lang w:eastAsia="it-IT"/>
              </w:rPr>
              <w:t xml:space="preserve"> le verifiche effettuate </w:t>
            </w:r>
            <w:r w:rsidR="00F762F7" w:rsidRPr="003A4A57">
              <w:rPr>
                <w:rFonts w:asciiTheme="minorHAnsi" w:eastAsia="Times New Roman" w:hAnsiTheme="minorHAnsi" w:cstheme="minorHAnsi"/>
                <w:lang w:eastAsia="it-IT"/>
              </w:rPr>
              <w:t xml:space="preserve">sino </w:t>
            </w:r>
            <w:r w:rsidRPr="003A4A57">
              <w:rPr>
                <w:rFonts w:asciiTheme="minorHAnsi" w:eastAsia="Times New Roman" w:hAnsiTheme="minorHAnsi" w:cstheme="minorHAnsi"/>
                <w:lang w:eastAsia="it-IT"/>
              </w:rPr>
              <w:t>ad oggi hanno rilevato che il 30% - 37% del totale degli immobili residenziali necessitan</w:t>
            </w:r>
            <w:r w:rsidR="00F762F7" w:rsidRPr="003A4A57">
              <w:rPr>
                <w:rFonts w:asciiTheme="minorHAnsi" w:eastAsia="Times New Roman" w:hAnsiTheme="minorHAnsi" w:cstheme="minorHAnsi"/>
                <w:lang w:eastAsia="it-IT"/>
              </w:rPr>
              <w:t>o di interventi di varia natura a seconda del grado di danneggiamento.</w:t>
            </w:r>
            <w:r w:rsidR="00EE2A3C" w:rsidRPr="003A4A57">
              <w:rPr>
                <w:rFonts w:asciiTheme="minorHAnsi" w:eastAsia="Times New Roman" w:hAnsiTheme="minorHAnsi" w:cstheme="minorHAnsi"/>
                <w:lang w:eastAsia="it-IT"/>
              </w:rPr>
              <w:t xml:space="preserve"> </w:t>
            </w:r>
            <w:r w:rsidR="00F762F7" w:rsidRPr="003A4A57">
              <w:rPr>
                <w:rFonts w:asciiTheme="minorHAnsi" w:eastAsia="Times New Roman" w:hAnsiTheme="minorHAnsi" w:cstheme="minorHAnsi"/>
                <w:lang w:eastAsia="it-IT"/>
              </w:rPr>
              <w:t>In ogni caso la funzione residenziale non può passere in secondo piano.</w:t>
            </w:r>
          </w:p>
        </w:tc>
      </w:tr>
      <w:tr w:rsidR="00EF7608" w:rsidRPr="003A4A57" w:rsidTr="009B457F">
        <w:tc>
          <w:tcPr>
            <w:tcW w:w="1001" w:type="pct"/>
            <w:shd w:val="clear" w:color="auto" w:fill="F2F2F2" w:themeFill="background1" w:themeFillShade="F2"/>
          </w:tcPr>
          <w:p w:rsidR="00EF7608" w:rsidRPr="003A4A57" w:rsidRDefault="00EF7608" w:rsidP="00997F6C">
            <w:pPr>
              <w:spacing w:after="120"/>
              <w:rPr>
                <w:rFonts w:asciiTheme="minorHAnsi" w:eastAsia="Times New Roman" w:hAnsiTheme="minorHAnsi" w:cstheme="minorHAnsi"/>
                <w:b/>
                <w:i/>
                <w:sz w:val="22"/>
                <w:szCs w:val="22"/>
                <w:lang w:eastAsia="it-IT"/>
              </w:rPr>
            </w:pPr>
            <w:r w:rsidRPr="003A4A57">
              <w:rPr>
                <w:rFonts w:asciiTheme="minorHAnsi" w:eastAsia="Times New Roman" w:hAnsiTheme="minorHAnsi" w:cstheme="minorHAnsi"/>
                <w:b/>
                <w:i/>
                <w:sz w:val="22"/>
                <w:szCs w:val="22"/>
                <w:lang w:eastAsia="it-IT"/>
              </w:rPr>
              <w:t>Gli errori del passato</w:t>
            </w:r>
          </w:p>
        </w:tc>
        <w:tc>
          <w:tcPr>
            <w:tcW w:w="3999" w:type="pct"/>
            <w:shd w:val="clear" w:color="auto" w:fill="auto"/>
          </w:tcPr>
          <w:p w:rsidR="00EF7608" w:rsidRPr="003A4A57" w:rsidRDefault="00EF7608" w:rsidP="00997F6C">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Le soluzioni da adottare dovranno, quindi, tener conto delle diverse peculiarità cercando di non ripercorrere gli errori del passato.</w:t>
            </w:r>
            <w:r w:rsidR="00EE2A3C" w:rsidRPr="003A4A57">
              <w:rPr>
                <w:rFonts w:asciiTheme="minorHAnsi" w:eastAsia="Times New Roman" w:hAnsiTheme="minorHAnsi" w:cstheme="minorHAnsi"/>
                <w:lang w:eastAsia="it-IT"/>
              </w:rPr>
              <w:t xml:space="preserve"> </w:t>
            </w:r>
            <w:r w:rsidR="00BE7068" w:rsidRPr="003A4A57">
              <w:rPr>
                <w:rFonts w:asciiTheme="minorHAnsi" w:eastAsia="Times New Roman" w:hAnsiTheme="minorHAnsi" w:cstheme="minorHAnsi"/>
                <w:lang w:eastAsia="it-IT"/>
              </w:rPr>
              <w:t>Visto che l</w:t>
            </w:r>
            <w:r w:rsidR="00F762F7" w:rsidRPr="003A4A57">
              <w:rPr>
                <w:rFonts w:asciiTheme="minorHAnsi" w:eastAsia="Times New Roman" w:hAnsiTheme="minorHAnsi" w:cstheme="minorHAnsi"/>
                <w:lang w:eastAsia="it-IT"/>
              </w:rPr>
              <w:t>a</w:t>
            </w:r>
            <w:r w:rsidRPr="003A4A57">
              <w:rPr>
                <w:rFonts w:asciiTheme="minorHAnsi" w:eastAsia="Times New Roman" w:hAnsiTheme="minorHAnsi" w:cstheme="minorHAnsi"/>
                <w:lang w:eastAsia="it-IT"/>
              </w:rPr>
              <w:t xml:space="preserve"> realtà </w:t>
            </w:r>
            <w:r w:rsidR="00F762F7" w:rsidRPr="003A4A57">
              <w:rPr>
                <w:rFonts w:asciiTheme="minorHAnsi" w:eastAsia="Times New Roman" w:hAnsiTheme="minorHAnsi" w:cstheme="minorHAnsi"/>
                <w:lang w:eastAsia="it-IT"/>
              </w:rPr>
              <w:t>abruzzese presenta</w:t>
            </w:r>
            <w:r w:rsidRPr="003A4A57">
              <w:rPr>
                <w:rFonts w:asciiTheme="minorHAnsi" w:eastAsia="Times New Roman" w:hAnsiTheme="minorHAnsi" w:cstheme="minorHAnsi"/>
                <w:lang w:eastAsia="it-IT"/>
              </w:rPr>
              <w:t xml:space="preserve"> ancora rilevanti problematiche che attendono di essere risolte e che, conseguentemente, ne ostacolano la ripresa socio-economica.</w:t>
            </w:r>
          </w:p>
          <w:p w:rsidR="00EF7608" w:rsidRPr="003A4A57" w:rsidRDefault="00F762F7" w:rsidP="00997F6C">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La fase di ricostruzione ha subì</w:t>
            </w:r>
            <w:r w:rsidR="00EF7608" w:rsidRPr="003A4A57">
              <w:rPr>
                <w:rFonts w:asciiTheme="minorHAnsi" w:eastAsia="Times New Roman" w:hAnsiTheme="minorHAnsi" w:cstheme="minorHAnsi"/>
                <w:lang w:eastAsia="it-IT"/>
              </w:rPr>
              <w:t xml:space="preserve">to rallentamenti sia per una strategia del processo di ricostruzione non precisamente </w:t>
            </w:r>
            <w:r w:rsidRPr="003A4A57">
              <w:rPr>
                <w:rFonts w:asciiTheme="minorHAnsi" w:eastAsia="Times New Roman" w:hAnsiTheme="minorHAnsi" w:cstheme="minorHAnsi"/>
                <w:lang w:eastAsia="it-IT"/>
              </w:rPr>
              <w:t>de</w:t>
            </w:r>
            <w:r w:rsidR="005D71D3" w:rsidRPr="003A4A57">
              <w:rPr>
                <w:rFonts w:asciiTheme="minorHAnsi" w:eastAsia="Times New Roman" w:hAnsiTheme="minorHAnsi" w:cstheme="minorHAnsi"/>
                <w:lang w:eastAsia="it-IT"/>
              </w:rPr>
              <w:t>lineata (con eccezione del progetto CASE</w:t>
            </w:r>
            <w:r w:rsidR="00BE7068" w:rsidRPr="003A4A57">
              <w:rPr>
                <w:rFonts w:asciiTheme="minorHAnsi" w:eastAsia="Times New Roman" w:hAnsiTheme="minorHAnsi" w:cstheme="minorHAnsi"/>
                <w:lang w:eastAsia="it-IT"/>
              </w:rPr>
              <w:t xml:space="preserve"> e di alcune altre tipologie di intervento</w:t>
            </w:r>
            <w:r w:rsidR="005D71D3" w:rsidRPr="003A4A57">
              <w:rPr>
                <w:rFonts w:asciiTheme="minorHAnsi" w:eastAsia="Times New Roman" w:hAnsiTheme="minorHAnsi" w:cstheme="minorHAnsi"/>
                <w:lang w:eastAsia="it-IT"/>
              </w:rPr>
              <w:t xml:space="preserve">) </w:t>
            </w:r>
            <w:r w:rsidR="00EF7608" w:rsidRPr="003A4A57">
              <w:rPr>
                <w:rFonts w:asciiTheme="minorHAnsi" w:eastAsia="Times New Roman" w:hAnsiTheme="minorHAnsi" w:cstheme="minorHAnsi"/>
                <w:lang w:eastAsia="it-IT"/>
              </w:rPr>
              <w:t>o addirittura indefinita dopo 3 anni (centro storico dell’Aquila) sia per la presenza di un impianto normativo e procedurale complesso (Decreti leggi, ordinanze protezione civile etc.).</w:t>
            </w:r>
          </w:p>
          <w:p w:rsidR="00EF7608" w:rsidRPr="003A4A57" w:rsidRDefault="00F762F7" w:rsidP="00997F6C">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 xml:space="preserve">Nel decreto legge 39/2009 era </w:t>
            </w:r>
            <w:r w:rsidR="00EF7608" w:rsidRPr="003A4A57">
              <w:rPr>
                <w:rFonts w:asciiTheme="minorHAnsi" w:eastAsia="Times New Roman" w:hAnsiTheme="minorHAnsi" w:cstheme="minorHAnsi"/>
                <w:lang w:eastAsia="it-IT"/>
              </w:rPr>
              <w:t>evidente una forte centralizzazione nelle linee operative da seguire con la previsione anche delle modalità per la concessione dei contri</w:t>
            </w:r>
            <w:r w:rsidR="00BE7068" w:rsidRPr="003A4A57">
              <w:rPr>
                <w:rFonts w:asciiTheme="minorHAnsi" w:eastAsia="Times New Roman" w:hAnsiTheme="minorHAnsi" w:cstheme="minorHAnsi"/>
                <w:lang w:eastAsia="it-IT"/>
              </w:rPr>
              <w:t>bu</w:t>
            </w:r>
            <w:r w:rsidRPr="003A4A57">
              <w:rPr>
                <w:rFonts w:asciiTheme="minorHAnsi" w:eastAsia="Times New Roman" w:hAnsiTheme="minorHAnsi" w:cstheme="minorHAnsi"/>
                <w:lang w:eastAsia="it-IT"/>
              </w:rPr>
              <w:t xml:space="preserve">ti (es. entità e  procedure) che </w:t>
            </w:r>
            <w:r w:rsidR="00EF7608" w:rsidRPr="003A4A57">
              <w:rPr>
                <w:rFonts w:asciiTheme="minorHAnsi" w:eastAsia="Times New Roman" w:hAnsiTheme="minorHAnsi" w:cstheme="minorHAnsi"/>
                <w:lang w:eastAsia="it-IT"/>
              </w:rPr>
              <w:t xml:space="preserve">ha presentato delle criticità </w:t>
            </w:r>
            <w:r w:rsidRPr="003A4A57">
              <w:rPr>
                <w:rFonts w:asciiTheme="minorHAnsi" w:eastAsia="Times New Roman" w:hAnsiTheme="minorHAnsi" w:cstheme="minorHAnsi"/>
                <w:lang w:eastAsia="it-IT"/>
              </w:rPr>
              <w:t xml:space="preserve">soprattutto per la </w:t>
            </w:r>
            <w:r w:rsidR="00EF7608" w:rsidRPr="003A4A57">
              <w:rPr>
                <w:rFonts w:asciiTheme="minorHAnsi" w:eastAsia="Times New Roman" w:hAnsiTheme="minorHAnsi" w:cstheme="minorHAnsi"/>
                <w:lang w:eastAsia="it-IT"/>
              </w:rPr>
              <w:t xml:space="preserve">ricostruzione “pesante” (edifici classificati E) </w:t>
            </w:r>
            <w:r w:rsidRPr="003A4A57">
              <w:rPr>
                <w:rFonts w:asciiTheme="minorHAnsi" w:eastAsia="Times New Roman" w:hAnsiTheme="minorHAnsi" w:cstheme="minorHAnsi"/>
                <w:lang w:eastAsia="it-IT"/>
              </w:rPr>
              <w:t xml:space="preserve">e </w:t>
            </w:r>
            <w:r w:rsidR="00EF7608" w:rsidRPr="003A4A57">
              <w:rPr>
                <w:rFonts w:asciiTheme="minorHAnsi" w:eastAsia="Times New Roman" w:hAnsiTheme="minorHAnsi" w:cstheme="minorHAnsi"/>
                <w:lang w:eastAsia="it-IT"/>
              </w:rPr>
              <w:t>per i centri storici</w:t>
            </w:r>
            <w:r w:rsidRPr="003A4A57">
              <w:rPr>
                <w:rFonts w:asciiTheme="minorHAnsi" w:eastAsia="Times New Roman" w:hAnsiTheme="minorHAnsi" w:cstheme="minorHAnsi"/>
                <w:lang w:eastAsia="it-IT"/>
              </w:rPr>
              <w:t xml:space="preserve"> (al momento bloccata)</w:t>
            </w:r>
            <w:r w:rsidR="00EF7608" w:rsidRPr="003A4A57">
              <w:rPr>
                <w:rFonts w:asciiTheme="minorHAnsi" w:eastAsia="Times New Roman" w:hAnsiTheme="minorHAnsi" w:cstheme="minorHAnsi"/>
                <w:lang w:eastAsia="it-IT"/>
              </w:rPr>
              <w:t>.</w:t>
            </w:r>
          </w:p>
          <w:p w:rsidR="00E946E9" w:rsidRPr="003A4A57" w:rsidRDefault="00F762F7" w:rsidP="00E946E9">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 xml:space="preserve">In particolare per i </w:t>
            </w:r>
            <w:r w:rsidR="00EF7608" w:rsidRPr="003A4A57">
              <w:rPr>
                <w:rFonts w:asciiTheme="minorHAnsi" w:eastAsia="Times New Roman" w:hAnsiTheme="minorHAnsi" w:cstheme="minorHAnsi"/>
                <w:lang w:eastAsia="it-IT"/>
              </w:rPr>
              <w:t xml:space="preserve">centri storici la ricostruzione non è ancora </w:t>
            </w:r>
            <w:r w:rsidR="005D71D3" w:rsidRPr="003A4A57">
              <w:rPr>
                <w:rFonts w:asciiTheme="minorHAnsi" w:eastAsia="Times New Roman" w:hAnsiTheme="minorHAnsi" w:cstheme="minorHAnsi"/>
                <w:lang w:eastAsia="it-IT"/>
              </w:rPr>
              <w:t>iniziata</w:t>
            </w:r>
            <w:r w:rsidR="00EF7608" w:rsidRPr="003A4A57">
              <w:rPr>
                <w:rFonts w:asciiTheme="minorHAnsi" w:eastAsia="Times New Roman" w:hAnsiTheme="minorHAnsi" w:cstheme="minorHAnsi"/>
                <w:lang w:eastAsia="it-IT"/>
              </w:rPr>
              <w:t xml:space="preserve"> pur in presenza di immobili e nuclei che potrebbero comunque essere già oggi ripri</w:t>
            </w:r>
            <w:r w:rsidRPr="003A4A57">
              <w:rPr>
                <w:rFonts w:asciiTheme="minorHAnsi" w:eastAsia="Times New Roman" w:hAnsiTheme="minorHAnsi" w:cstheme="minorHAnsi"/>
                <w:lang w:eastAsia="it-IT"/>
              </w:rPr>
              <w:t xml:space="preserve">stinati senza alcun pregiudizio, mentre per gli edifici classificati  E a distanza di tre anni </w:t>
            </w:r>
            <w:r w:rsidR="001C75B6" w:rsidRPr="003A4A57">
              <w:rPr>
                <w:rFonts w:asciiTheme="minorHAnsi" w:eastAsia="Times New Roman" w:hAnsiTheme="minorHAnsi" w:cstheme="minorHAnsi"/>
                <w:lang w:eastAsia="it-IT"/>
              </w:rPr>
              <w:t>dal sisma stanno partendo i can</w:t>
            </w:r>
            <w:r w:rsidRPr="003A4A57">
              <w:rPr>
                <w:rFonts w:asciiTheme="minorHAnsi" w:eastAsia="Times New Roman" w:hAnsiTheme="minorHAnsi" w:cstheme="minorHAnsi"/>
                <w:lang w:eastAsia="it-IT"/>
              </w:rPr>
              <w:t>tieri (soprattutto a causa di procedure complesse).</w:t>
            </w:r>
          </w:p>
        </w:tc>
      </w:tr>
      <w:tr w:rsidR="008279F9" w:rsidRPr="003A4A57" w:rsidTr="009B457F">
        <w:tc>
          <w:tcPr>
            <w:tcW w:w="1001" w:type="pct"/>
            <w:shd w:val="clear" w:color="auto" w:fill="F2F2F2" w:themeFill="background1" w:themeFillShade="F2"/>
          </w:tcPr>
          <w:p w:rsidR="008279F9" w:rsidRPr="003A4A57" w:rsidRDefault="008279F9" w:rsidP="00997F6C">
            <w:pPr>
              <w:spacing w:after="120"/>
              <w:rPr>
                <w:rFonts w:asciiTheme="minorHAnsi" w:eastAsia="Times New Roman" w:hAnsiTheme="minorHAnsi" w:cstheme="minorHAnsi"/>
                <w:b/>
                <w:i/>
                <w:sz w:val="22"/>
                <w:szCs w:val="22"/>
                <w:lang w:eastAsia="it-IT"/>
              </w:rPr>
            </w:pPr>
          </w:p>
        </w:tc>
        <w:tc>
          <w:tcPr>
            <w:tcW w:w="3999" w:type="pct"/>
            <w:shd w:val="clear" w:color="auto" w:fill="auto"/>
          </w:tcPr>
          <w:p w:rsidR="00E946E9" w:rsidRDefault="008279F9" w:rsidP="004D59F7">
            <w:pPr>
              <w:spacing w:after="120"/>
              <w:jc w:val="both"/>
              <w:rPr>
                <w:rFonts w:asciiTheme="minorHAnsi" w:eastAsia="Times New Roman" w:hAnsiTheme="minorHAnsi" w:cstheme="minorHAnsi"/>
                <w:b/>
                <w:sz w:val="28"/>
                <w:szCs w:val="28"/>
                <w:lang w:eastAsia="it-IT"/>
              </w:rPr>
            </w:pPr>
            <w:r w:rsidRPr="003A4A57">
              <w:rPr>
                <w:rFonts w:asciiTheme="minorHAnsi" w:eastAsia="Times New Roman" w:hAnsiTheme="minorHAnsi" w:cstheme="minorHAnsi"/>
                <w:b/>
                <w:sz w:val="28"/>
                <w:szCs w:val="28"/>
                <w:lang w:eastAsia="it-IT"/>
              </w:rPr>
              <w:t>Il Decreto Legge 74/2012</w:t>
            </w:r>
          </w:p>
          <w:p w:rsidR="00520267" w:rsidRPr="003A4A57" w:rsidRDefault="00520267" w:rsidP="004D59F7">
            <w:pPr>
              <w:spacing w:after="120"/>
              <w:jc w:val="both"/>
              <w:rPr>
                <w:rFonts w:asciiTheme="minorHAnsi" w:eastAsia="Times New Roman" w:hAnsiTheme="minorHAnsi" w:cstheme="minorHAnsi"/>
                <w:lang w:eastAsia="it-IT"/>
              </w:rPr>
            </w:pPr>
          </w:p>
        </w:tc>
      </w:tr>
      <w:tr w:rsidR="00EF7608" w:rsidRPr="003A4A57" w:rsidTr="009B457F">
        <w:tc>
          <w:tcPr>
            <w:tcW w:w="1001" w:type="pct"/>
            <w:shd w:val="clear" w:color="auto" w:fill="F2F2F2" w:themeFill="background1" w:themeFillShade="F2"/>
          </w:tcPr>
          <w:p w:rsidR="00EF7608" w:rsidRPr="003A4A57" w:rsidRDefault="00EF7608" w:rsidP="00382111">
            <w:pPr>
              <w:spacing w:after="120"/>
              <w:rPr>
                <w:rFonts w:asciiTheme="minorHAnsi" w:eastAsia="Times New Roman" w:hAnsiTheme="minorHAnsi" w:cstheme="minorHAnsi"/>
                <w:b/>
                <w:i/>
                <w:sz w:val="22"/>
                <w:szCs w:val="22"/>
                <w:lang w:eastAsia="it-IT"/>
              </w:rPr>
            </w:pPr>
            <w:r w:rsidRPr="003A4A57">
              <w:rPr>
                <w:rFonts w:asciiTheme="minorHAnsi" w:eastAsia="Times New Roman" w:hAnsiTheme="minorHAnsi" w:cstheme="minorHAnsi"/>
                <w:b/>
                <w:i/>
                <w:sz w:val="22"/>
                <w:szCs w:val="22"/>
                <w:lang w:eastAsia="it-IT"/>
              </w:rPr>
              <w:t xml:space="preserve">La </w:t>
            </w:r>
            <w:proofErr w:type="spellStart"/>
            <w:r w:rsidRPr="003A4A57">
              <w:rPr>
                <w:rFonts w:asciiTheme="minorHAnsi" w:eastAsia="Times New Roman" w:hAnsiTheme="minorHAnsi" w:cstheme="minorHAnsi"/>
                <w:b/>
                <w:i/>
                <w:sz w:val="22"/>
                <w:szCs w:val="22"/>
                <w:lang w:eastAsia="it-IT"/>
              </w:rPr>
              <w:t>governance</w:t>
            </w:r>
            <w:proofErr w:type="spellEnd"/>
            <w:r w:rsidRPr="003A4A57">
              <w:rPr>
                <w:rFonts w:asciiTheme="minorHAnsi" w:eastAsia="Times New Roman" w:hAnsiTheme="minorHAnsi" w:cstheme="minorHAnsi"/>
                <w:b/>
                <w:i/>
                <w:sz w:val="22"/>
                <w:szCs w:val="22"/>
                <w:lang w:eastAsia="it-IT"/>
              </w:rPr>
              <w:t xml:space="preserve"> </w:t>
            </w:r>
          </w:p>
        </w:tc>
        <w:tc>
          <w:tcPr>
            <w:tcW w:w="3999" w:type="pct"/>
            <w:shd w:val="clear" w:color="auto" w:fill="auto"/>
          </w:tcPr>
          <w:p w:rsidR="00EF7608" w:rsidRPr="003A4A57" w:rsidRDefault="00EF7608" w:rsidP="00997F6C">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Il Decreto legge 74/2012 si inserisce in un’ottica differente ridisegnando, in particolare, il ruolo dello Stato e delle Regioni nella relativa gestione.</w:t>
            </w:r>
          </w:p>
          <w:p w:rsidR="008279F9" w:rsidRPr="003A4A57" w:rsidRDefault="00EF7608" w:rsidP="00BE7068">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 xml:space="preserve">L’art. 1, infatti, </w:t>
            </w:r>
            <w:r w:rsidRPr="003A4A57">
              <w:rPr>
                <w:rFonts w:asciiTheme="minorHAnsi" w:eastAsia="Times New Roman" w:hAnsiTheme="minorHAnsi" w:cstheme="minorHAnsi"/>
                <w:b/>
                <w:lang w:eastAsia="it-IT"/>
              </w:rPr>
              <w:t>attribuisce direttamente ai Presidenti delle Regioni Emilia Romagna, Lombardia e Veneto, in qualità di Commissari delegati, il coordinamento delle attività per la ricostruzione nelle regioni di rispettiva competenza  e il compito di stabilire “priorità, modalità e percentuali” entro le quali possono essere concessi contribuiti nel limite delle risorse stabilite dal decreto</w:t>
            </w:r>
            <w:r w:rsidRPr="003A4A57">
              <w:rPr>
                <w:rFonts w:asciiTheme="minorHAnsi" w:eastAsia="Times New Roman" w:hAnsiTheme="minorHAnsi" w:cstheme="minorHAnsi"/>
                <w:lang w:eastAsia="it-IT"/>
              </w:rPr>
              <w:t>.</w:t>
            </w:r>
          </w:p>
          <w:p w:rsidR="00BE7068" w:rsidRPr="003A4A57" w:rsidRDefault="00BE7068" w:rsidP="00BE7068">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Tale scelta è maggiormente aderente alle esigenze della comunità locale e dovrebbe consentire un più  immediato avvio degli interventi di riparazione e ricostruzione.</w:t>
            </w:r>
          </w:p>
        </w:tc>
      </w:tr>
      <w:tr w:rsidR="00EF7608" w:rsidRPr="003A4A57" w:rsidTr="009B457F">
        <w:tc>
          <w:tcPr>
            <w:tcW w:w="1001" w:type="pct"/>
            <w:shd w:val="clear" w:color="auto" w:fill="F2F2F2" w:themeFill="background1" w:themeFillShade="F2"/>
          </w:tcPr>
          <w:p w:rsidR="00EF7608" w:rsidRPr="003A4A57" w:rsidRDefault="00EF7608" w:rsidP="00382111">
            <w:pPr>
              <w:spacing w:after="120"/>
              <w:rPr>
                <w:rFonts w:asciiTheme="minorHAnsi" w:eastAsia="Times New Roman" w:hAnsiTheme="minorHAnsi" w:cstheme="minorHAnsi"/>
                <w:b/>
                <w:i/>
                <w:sz w:val="22"/>
                <w:szCs w:val="22"/>
                <w:lang w:eastAsia="it-IT"/>
              </w:rPr>
            </w:pPr>
            <w:r w:rsidRPr="003A4A57">
              <w:rPr>
                <w:rFonts w:asciiTheme="minorHAnsi" w:eastAsia="Times New Roman" w:hAnsiTheme="minorHAnsi" w:cstheme="minorHAnsi"/>
                <w:b/>
                <w:i/>
                <w:sz w:val="22"/>
                <w:szCs w:val="22"/>
                <w:lang w:eastAsia="it-IT"/>
              </w:rPr>
              <w:t>Certezza nei tempi, nelle procedure, per l'avvio immediato degli interventi</w:t>
            </w:r>
          </w:p>
        </w:tc>
        <w:tc>
          <w:tcPr>
            <w:tcW w:w="3999" w:type="pct"/>
            <w:shd w:val="clear" w:color="auto" w:fill="auto"/>
          </w:tcPr>
          <w:p w:rsidR="00EF7608" w:rsidRPr="003A4A57" w:rsidRDefault="00EF7608" w:rsidP="00997F6C">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 xml:space="preserve">Desta, tuttavia, </w:t>
            </w:r>
            <w:r w:rsidRPr="003A4A57">
              <w:rPr>
                <w:rFonts w:asciiTheme="minorHAnsi" w:eastAsia="Times New Roman" w:hAnsiTheme="minorHAnsi" w:cstheme="minorHAnsi"/>
                <w:b/>
                <w:lang w:eastAsia="it-IT"/>
              </w:rPr>
              <w:t>perplessità l’assenza di una tempistica procedurale</w:t>
            </w:r>
            <w:r w:rsidRPr="003A4A57">
              <w:rPr>
                <w:rFonts w:asciiTheme="minorHAnsi" w:eastAsia="Times New Roman" w:hAnsiTheme="minorHAnsi" w:cstheme="minorHAnsi"/>
                <w:lang w:eastAsia="it-IT"/>
              </w:rPr>
              <w:t xml:space="preserve"> derivante anche dall’incerta quantificazione delle risorse </w:t>
            </w:r>
            <w:r w:rsidR="003553D7" w:rsidRPr="003A4A57">
              <w:rPr>
                <w:rFonts w:asciiTheme="minorHAnsi" w:eastAsia="Times New Roman" w:hAnsiTheme="minorHAnsi" w:cstheme="minorHAnsi"/>
                <w:lang w:eastAsia="it-IT"/>
              </w:rPr>
              <w:t xml:space="preserve">disponibili </w:t>
            </w:r>
            <w:r w:rsidRPr="003A4A57">
              <w:rPr>
                <w:rFonts w:asciiTheme="minorHAnsi" w:eastAsia="Times New Roman" w:hAnsiTheme="minorHAnsi" w:cstheme="minorHAnsi"/>
                <w:lang w:eastAsia="it-IT"/>
              </w:rPr>
              <w:t>e del</w:t>
            </w:r>
            <w:r w:rsidR="005D71D3" w:rsidRPr="003A4A57">
              <w:rPr>
                <w:rFonts w:asciiTheme="minorHAnsi" w:eastAsia="Times New Roman" w:hAnsiTheme="minorHAnsi" w:cstheme="minorHAnsi"/>
                <w:lang w:eastAsia="it-IT"/>
              </w:rPr>
              <w:t>l’ammontare effettivo dei danni.</w:t>
            </w:r>
          </w:p>
          <w:p w:rsidR="001C75B6" w:rsidRPr="003A4A57" w:rsidRDefault="00EF7608" w:rsidP="00997F6C">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 xml:space="preserve">La stessa concessione dei contributi è subordinata </w:t>
            </w:r>
            <w:r w:rsidRPr="003A4A57">
              <w:rPr>
                <w:rFonts w:asciiTheme="minorHAnsi" w:eastAsia="Times New Roman" w:hAnsiTheme="minorHAnsi" w:cstheme="minorHAnsi"/>
                <w:b/>
                <w:lang w:eastAsia="it-IT"/>
              </w:rPr>
              <w:t>alla definizione, tramite Decreto del Presidente del Consiglio dei Ministri,  di criteri generali in coerenza ai quali le Regioni dovranno poi disporre le relative “priorità, modalità e percentuali”</w:t>
            </w:r>
            <w:r w:rsidRPr="003A4A57">
              <w:rPr>
                <w:rFonts w:asciiTheme="minorHAnsi" w:eastAsia="Times New Roman" w:hAnsiTheme="minorHAnsi" w:cstheme="minorHAnsi"/>
                <w:lang w:eastAsia="it-IT"/>
              </w:rPr>
              <w:t>.</w:t>
            </w:r>
          </w:p>
          <w:p w:rsidR="00EF7608" w:rsidRPr="003A4A57" w:rsidRDefault="00EF7608" w:rsidP="00997F6C">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b/>
                <w:lang w:eastAsia="it-IT"/>
              </w:rPr>
              <w:t>Nessun ter</w:t>
            </w:r>
            <w:r w:rsidR="001C75B6" w:rsidRPr="003A4A57">
              <w:rPr>
                <w:rFonts w:asciiTheme="minorHAnsi" w:eastAsia="Times New Roman" w:hAnsiTheme="minorHAnsi" w:cstheme="minorHAnsi"/>
                <w:b/>
                <w:lang w:eastAsia="it-IT"/>
              </w:rPr>
              <w:t xml:space="preserve">mine, tuttavia, è previsto per </w:t>
            </w:r>
            <w:r w:rsidRPr="003A4A57">
              <w:rPr>
                <w:rFonts w:asciiTheme="minorHAnsi" w:eastAsia="Times New Roman" w:hAnsiTheme="minorHAnsi" w:cstheme="minorHAnsi"/>
                <w:b/>
                <w:lang w:eastAsia="it-IT"/>
              </w:rPr>
              <w:t>l’emanazione del suddetto provvedimento</w:t>
            </w:r>
            <w:r w:rsidRPr="003A4A57">
              <w:rPr>
                <w:rFonts w:asciiTheme="minorHAnsi" w:eastAsia="Times New Roman" w:hAnsiTheme="minorHAnsi" w:cstheme="minorHAnsi"/>
                <w:lang w:eastAsia="it-IT"/>
              </w:rPr>
              <w:t>.</w:t>
            </w:r>
          </w:p>
          <w:p w:rsidR="009972E9" w:rsidRPr="003A4A57" w:rsidRDefault="009972E9" w:rsidP="00997F6C">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È quindi necessario individuare un termine perentorio per l'emanazione del decreto.</w:t>
            </w:r>
          </w:p>
          <w:p w:rsidR="00EF7608" w:rsidRPr="003A4A57" w:rsidRDefault="00EF7608" w:rsidP="00997F6C">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 xml:space="preserve">In particolare, per i lavori sugli edifici che presentano danni minori e </w:t>
            </w:r>
            <w:r w:rsidR="003553D7" w:rsidRPr="003A4A57">
              <w:rPr>
                <w:rFonts w:asciiTheme="minorHAnsi" w:eastAsia="Times New Roman" w:hAnsiTheme="minorHAnsi" w:cstheme="minorHAnsi"/>
                <w:lang w:eastAsia="it-IT"/>
              </w:rPr>
              <w:t xml:space="preserve">dotati di </w:t>
            </w:r>
            <w:r w:rsidRPr="003A4A57">
              <w:rPr>
                <w:rFonts w:asciiTheme="minorHAnsi" w:eastAsia="Times New Roman" w:hAnsiTheme="minorHAnsi" w:cstheme="minorHAnsi"/>
                <w:lang w:eastAsia="it-IT"/>
              </w:rPr>
              <w:t xml:space="preserve"> autonomi</w:t>
            </w:r>
            <w:r w:rsidR="003553D7" w:rsidRPr="003A4A57">
              <w:rPr>
                <w:rFonts w:asciiTheme="minorHAnsi" w:eastAsia="Times New Roman" w:hAnsiTheme="minorHAnsi" w:cstheme="minorHAnsi"/>
                <w:lang w:eastAsia="it-IT"/>
              </w:rPr>
              <w:t>a</w:t>
            </w:r>
            <w:r w:rsidRPr="003A4A57">
              <w:rPr>
                <w:rFonts w:asciiTheme="minorHAnsi" w:eastAsia="Times New Roman" w:hAnsiTheme="minorHAnsi" w:cstheme="minorHAnsi"/>
                <w:lang w:eastAsia="it-IT"/>
              </w:rPr>
              <w:t xml:space="preserve"> funzionale</w:t>
            </w:r>
            <w:r w:rsidR="003553D7" w:rsidRPr="003A4A57">
              <w:rPr>
                <w:rFonts w:asciiTheme="minorHAnsi" w:eastAsia="Times New Roman" w:hAnsiTheme="minorHAnsi" w:cstheme="minorHAnsi"/>
                <w:lang w:eastAsia="it-IT"/>
              </w:rPr>
              <w:t>,</w:t>
            </w:r>
            <w:r w:rsidRPr="003A4A57">
              <w:rPr>
                <w:rFonts w:asciiTheme="minorHAnsi" w:eastAsia="Times New Roman" w:hAnsiTheme="minorHAnsi" w:cstheme="minorHAnsi"/>
                <w:lang w:eastAsia="it-IT"/>
              </w:rPr>
              <w:t xml:space="preserve"> è n</w:t>
            </w:r>
            <w:r w:rsidR="005D71D3" w:rsidRPr="003A4A57">
              <w:rPr>
                <w:rFonts w:asciiTheme="minorHAnsi" w:eastAsia="Times New Roman" w:hAnsiTheme="minorHAnsi" w:cstheme="minorHAnsi"/>
                <w:lang w:eastAsia="it-IT"/>
              </w:rPr>
              <w:t>ecessario prevederne l’immediato recupero alle funzioni originarie</w:t>
            </w:r>
            <w:r w:rsidRPr="003A4A57">
              <w:rPr>
                <w:rFonts w:asciiTheme="minorHAnsi" w:eastAsia="Times New Roman" w:hAnsiTheme="minorHAnsi" w:cstheme="minorHAnsi"/>
                <w:lang w:eastAsia="it-IT"/>
              </w:rPr>
              <w:t>.</w:t>
            </w:r>
          </w:p>
          <w:p w:rsidR="00EF7608" w:rsidRPr="003A4A57" w:rsidRDefault="00EF7608" w:rsidP="00997F6C">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Il decreto, all’art. 3, comma 5, sembrerebbe cogliere tale impostazione demandando ai soggetti interessati la possibilità di eseguire</w:t>
            </w:r>
            <w:r w:rsidR="005D71D3" w:rsidRPr="003A4A57">
              <w:rPr>
                <w:rFonts w:asciiTheme="minorHAnsi" w:eastAsia="Times New Roman" w:hAnsiTheme="minorHAnsi" w:cstheme="minorHAnsi"/>
                <w:lang w:eastAsia="it-IT"/>
              </w:rPr>
              <w:t>,</w:t>
            </w:r>
            <w:r w:rsidRPr="003A4A57">
              <w:rPr>
                <w:rFonts w:asciiTheme="minorHAnsi" w:eastAsia="Times New Roman" w:hAnsiTheme="minorHAnsi" w:cstheme="minorHAnsi"/>
                <w:lang w:eastAsia="it-IT"/>
              </w:rPr>
              <w:t xml:space="preserve"> tramite un </w:t>
            </w:r>
            <w:r w:rsidR="005D71D3" w:rsidRPr="003A4A57">
              <w:rPr>
                <w:rFonts w:asciiTheme="minorHAnsi" w:eastAsia="Times New Roman" w:hAnsiTheme="minorHAnsi" w:cstheme="minorHAnsi"/>
                <w:lang w:eastAsia="it-IT"/>
              </w:rPr>
              <w:t xml:space="preserve">progetto di un tecnico </w:t>
            </w:r>
            <w:r w:rsidRPr="003A4A57">
              <w:rPr>
                <w:rFonts w:asciiTheme="minorHAnsi" w:eastAsia="Times New Roman" w:hAnsiTheme="minorHAnsi" w:cstheme="minorHAnsi"/>
                <w:lang w:eastAsia="it-IT"/>
              </w:rPr>
              <w:t xml:space="preserve"> abilitato</w:t>
            </w:r>
            <w:r w:rsidR="005D71D3" w:rsidRPr="003A4A57">
              <w:rPr>
                <w:rFonts w:asciiTheme="minorHAnsi" w:eastAsia="Times New Roman" w:hAnsiTheme="minorHAnsi" w:cstheme="minorHAnsi"/>
                <w:lang w:eastAsia="it-IT"/>
              </w:rPr>
              <w:t>,</w:t>
            </w:r>
            <w:r w:rsidRPr="003A4A57">
              <w:rPr>
                <w:rFonts w:asciiTheme="minorHAnsi" w:eastAsia="Times New Roman" w:hAnsiTheme="minorHAnsi" w:cstheme="minorHAnsi"/>
                <w:lang w:eastAsia="it-IT"/>
              </w:rPr>
              <w:t xml:space="preserve"> i lavori per effettuare il ripristino dell’agibilità degli edifici e delle strutture nelle more che venga effettuata la relativa verifica</w:t>
            </w:r>
            <w:r w:rsidR="005D71D3" w:rsidRPr="003A4A57">
              <w:rPr>
                <w:rFonts w:asciiTheme="minorHAnsi" w:eastAsia="Times New Roman" w:hAnsiTheme="minorHAnsi" w:cstheme="minorHAnsi"/>
                <w:lang w:eastAsia="it-IT"/>
              </w:rPr>
              <w:t xml:space="preserve"> definitiva</w:t>
            </w:r>
            <w:r w:rsidRPr="003A4A57">
              <w:rPr>
                <w:rFonts w:asciiTheme="minorHAnsi" w:eastAsia="Times New Roman" w:hAnsiTheme="minorHAnsi" w:cstheme="minorHAnsi"/>
                <w:lang w:eastAsia="it-IT"/>
              </w:rPr>
              <w:t>.</w:t>
            </w:r>
          </w:p>
          <w:p w:rsidR="00EF7608" w:rsidRPr="003A4A57" w:rsidRDefault="00EF7608" w:rsidP="00996E98">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Pur nel condividere tale impostazione volta ad accelerare il rientro della popolazione nelle proprie unità immobiliari</w:t>
            </w:r>
            <w:r w:rsidR="003553D7" w:rsidRPr="003A4A57">
              <w:rPr>
                <w:rFonts w:asciiTheme="minorHAnsi" w:eastAsia="Times New Roman" w:hAnsiTheme="minorHAnsi" w:cstheme="minorHAnsi"/>
                <w:lang w:eastAsia="it-IT"/>
              </w:rPr>
              <w:t xml:space="preserve"> e la ripresa produttiva</w:t>
            </w:r>
            <w:r w:rsidRPr="003A4A57">
              <w:rPr>
                <w:rFonts w:asciiTheme="minorHAnsi" w:eastAsia="Times New Roman" w:hAnsiTheme="minorHAnsi" w:cstheme="minorHAnsi"/>
                <w:lang w:eastAsia="it-IT"/>
              </w:rPr>
              <w:t xml:space="preserve">, si ritiene che l’assenza di indicazioni procedurali </w:t>
            </w:r>
            <w:r w:rsidR="00CB6368" w:rsidRPr="003A4A57">
              <w:rPr>
                <w:rFonts w:asciiTheme="minorHAnsi" w:eastAsia="Times New Roman" w:hAnsiTheme="minorHAnsi" w:cstheme="minorHAnsi"/>
                <w:lang w:eastAsia="it-IT"/>
              </w:rPr>
              <w:t xml:space="preserve">immediate </w:t>
            </w:r>
            <w:r w:rsidRPr="003A4A57">
              <w:rPr>
                <w:rFonts w:asciiTheme="minorHAnsi" w:eastAsia="Times New Roman" w:hAnsiTheme="minorHAnsi" w:cstheme="minorHAnsi"/>
                <w:lang w:eastAsia="it-IT"/>
              </w:rPr>
              <w:t xml:space="preserve">in merito soprattutto alle modalità di copertura delle spese occorrenti all’esecuzione degli interventi  </w:t>
            </w:r>
            <w:r w:rsidR="009972E9" w:rsidRPr="003A4A57">
              <w:rPr>
                <w:rFonts w:asciiTheme="minorHAnsi" w:eastAsia="Times New Roman" w:hAnsiTheme="minorHAnsi" w:cstheme="minorHAnsi"/>
                <w:lang w:eastAsia="it-IT"/>
              </w:rPr>
              <w:t>crei</w:t>
            </w:r>
            <w:r w:rsidR="003553D7" w:rsidRPr="003A4A57">
              <w:rPr>
                <w:rFonts w:asciiTheme="minorHAnsi" w:eastAsia="Times New Roman" w:hAnsiTheme="minorHAnsi" w:cstheme="minorHAnsi"/>
                <w:lang w:eastAsia="it-IT"/>
              </w:rPr>
              <w:t xml:space="preserve"> incertezza</w:t>
            </w:r>
            <w:r w:rsidRPr="003A4A57">
              <w:rPr>
                <w:rFonts w:asciiTheme="minorHAnsi" w:eastAsia="Times New Roman" w:hAnsiTheme="minorHAnsi" w:cstheme="minorHAnsi"/>
                <w:lang w:eastAsia="it-IT"/>
              </w:rPr>
              <w:t>.</w:t>
            </w:r>
          </w:p>
          <w:p w:rsidR="008279F9" w:rsidRPr="003A4A57" w:rsidRDefault="003553D7" w:rsidP="009972E9">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 xml:space="preserve">In ogni caso </w:t>
            </w:r>
            <w:r w:rsidR="009972E9" w:rsidRPr="003A4A57">
              <w:rPr>
                <w:rFonts w:asciiTheme="minorHAnsi" w:eastAsia="Times New Roman" w:hAnsiTheme="minorHAnsi" w:cstheme="minorHAnsi"/>
                <w:lang w:eastAsia="it-IT"/>
              </w:rPr>
              <w:t>alle R</w:t>
            </w:r>
            <w:r w:rsidRPr="003A4A57">
              <w:rPr>
                <w:rFonts w:asciiTheme="minorHAnsi" w:eastAsia="Times New Roman" w:hAnsiTheme="minorHAnsi" w:cstheme="minorHAnsi"/>
                <w:lang w:eastAsia="it-IT"/>
              </w:rPr>
              <w:t>egioni dovrà essere riconosciuta autonomia nel definire le priorità di concessione dei contributi (es. produttivo, residenziale, immobili storici, ecc.).</w:t>
            </w:r>
          </w:p>
        </w:tc>
      </w:tr>
      <w:tr w:rsidR="00EF7608" w:rsidRPr="003A4A57" w:rsidTr="009B457F">
        <w:tc>
          <w:tcPr>
            <w:tcW w:w="1001" w:type="pct"/>
            <w:shd w:val="clear" w:color="auto" w:fill="F2F2F2" w:themeFill="background1" w:themeFillShade="F2"/>
          </w:tcPr>
          <w:p w:rsidR="00EF7608" w:rsidRPr="003A4A57" w:rsidRDefault="00EF7608" w:rsidP="00382111">
            <w:pPr>
              <w:spacing w:after="120"/>
              <w:rPr>
                <w:rFonts w:asciiTheme="minorHAnsi" w:eastAsia="Times New Roman" w:hAnsiTheme="minorHAnsi" w:cstheme="minorHAnsi"/>
                <w:b/>
                <w:i/>
                <w:sz w:val="22"/>
                <w:szCs w:val="22"/>
                <w:lang w:eastAsia="it-IT"/>
              </w:rPr>
            </w:pPr>
            <w:r w:rsidRPr="003A4A57">
              <w:rPr>
                <w:rFonts w:asciiTheme="minorHAnsi" w:eastAsia="Times New Roman" w:hAnsiTheme="minorHAnsi" w:cstheme="minorHAnsi"/>
                <w:b/>
                <w:i/>
                <w:sz w:val="22"/>
                <w:szCs w:val="22"/>
                <w:lang w:eastAsia="it-IT"/>
              </w:rPr>
              <w:t>Lavori per ripristino della agibilità</w:t>
            </w:r>
          </w:p>
        </w:tc>
        <w:tc>
          <w:tcPr>
            <w:tcW w:w="3999" w:type="pct"/>
            <w:shd w:val="clear" w:color="auto" w:fill="auto"/>
          </w:tcPr>
          <w:p w:rsidR="00EF7608" w:rsidRPr="003A4A57" w:rsidRDefault="00EF7608" w:rsidP="00997F6C">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 xml:space="preserve">Ulteriore aspetto da chiarire </w:t>
            </w:r>
            <w:r w:rsidR="00382E16" w:rsidRPr="003A4A57">
              <w:rPr>
                <w:rFonts w:asciiTheme="minorHAnsi" w:eastAsia="Times New Roman" w:hAnsiTheme="minorHAnsi" w:cstheme="minorHAnsi"/>
                <w:lang w:eastAsia="it-IT"/>
              </w:rPr>
              <w:t xml:space="preserve">sono le disposizioni che disciplinano gli interventi </w:t>
            </w:r>
            <w:r w:rsidRPr="003A4A57">
              <w:rPr>
                <w:rFonts w:asciiTheme="minorHAnsi" w:eastAsia="Times New Roman" w:hAnsiTheme="minorHAnsi" w:cstheme="minorHAnsi"/>
                <w:lang w:eastAsia="it-IT"/>
              </w:rPr>
              <w:t xml:space="preserve">necessari per il ripristino della </w:t>
            </w:r>
            <w:r w:rsidR="009972E9" w:rsidRPr="003A4A57">
              <w:rPr>
                <w:rFonts w:asciiTheme="minorHAnsi" w:eastAsia="Times New Roman" w:hAnsiTheme="minorHAnsi" w:cstheme="minorHAnsi"/>
                <w:lang w:eastAsia="it-IT"/>
              </w:rPr>
              <w:t>agibilità degli immobili.</w:t>
            </w:r>
          </w:p>
          <w:p w:rsidR="00417813" w:rsidRPr="003A4A57" w:rsidRDefault="00417813" w:rsidP="003E01A7">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Non è, infatti, chiaro se la disposizione</w:t>
            </w:r>
            <w:r w:rsidR="00CF2A8A" w:rsidRPr="003A4A57">
              <w:rPr>
                <w:rFonts w:asciiTheme="minorHAnsi" w:eastAsia="Times New Roman" w:hAnsiTheme="minorHAnsi" w:cstheme="minorHAnsi"/>
                <w:lang w:eastAsia="it-IT"/>
              </w:rPr>
              <w:t xml:space="preserve"> contenuta nel comma 5 dell’art. 3</w:t>
            </w:r>
            <w:r w:rsidR="009972E9" w:rsidRPr="003A4A57">
              <w:rPr>
                <w:rFonts w:asciiTheme="minorHAnsi" w:eastAsia="Times New Roman" w:hAnsiTheme="minorHAnsi" w:cstheme="minorHAnsi"/>
                <w:lang w:eastAsia="it-IT"/>
              </w:rPr>
              <w:t>,</w:t>
            </w:r>
            <w:r w:rsidRPr="003A4A57">
              <w:rPr>
                <w:rFonts w:asciiTheme="minorHAnsi" w:eastAsia="Times New Roman" w:hAnsiTheme="minorHAnsi" w:cstheme="minorHAnsi"/>
                <w:lang w:eastAsia="it-IT"/>
              </w:rPr>
              <w:t xml:space="preserve"> faccia riferimento ai soli interventi di pronto intervento per il “ripristino dell’agibilità” come indicati nel manuale e nella relativa  scheda </w:t>
            </w:r>
            <w:proofErr w:type="spellStart"/>
            <w:r w:rsidRPr="003A4A57">
              <w:rPr>
                <w:rFonts w:asciiTheme="minorHAnsi" w:eastAsia="Times New Roman" w:hAnsiTheme="minorHAnsi" w:cstheme="minorHAnsi"/>
                <w:lang w:eastAsia="it-IT"/>
              </w:rPr>
              <w:t>A</w:t>
            </w:r>
            <w:r w:rsidR="00DB03A5" w:rsidRPr="003A4A57">
              <w:rPr>
                <w:rFonts w:asciiTheme="minorHAnsi" w:eastAsia="Times New Roman" w:hAnsiTheme="minorHAnsi" w:cstheme="minorHAnsi"/>
                <w:lang w:eastAsia="it-IT"/>
              </w:rPr>
              <w:t>e</w:t>
            </w:r>
            <w:r w:rsidRPr="003A4A57">
              <w:rPr>
                <w:rFonts w:asciiTheme="minorHAnsi" w:eastAsia="Times New Roman" w:hAnsiTheme="minorHAnsi" w:cstheme="minorHAnsi"/>
                <w:lang w:eastAsia="it-IT"/>
              </w:rPr>
              <w:t>DES</w:t>
            </w:r>
            <w:proofErr w:type="spellEnd"/>
            <w:r w:rsidRPr="003A4A57">
              <w:rPr>
                <w:rFonts w:asciiTheme="minorHAnsi" w:eastAsia="Times New Roman" w:hAnsiTheme="minorHAnsi" w:cstheme="minorHAnsi"/>
                <w:lang w:eastAsia="it-IT"/>
              </w:rPr>
              <w:t xml:space="preserve"> per il rilevamento dei danni, pronto intervento e agibilità degli edifici (Decreto del Presidente del Consiglio dei Ministri del 5 maggio 2011 richiamato nel comma 5) ossia volti alla rimozione di parti pericolanti, piccole riparazioni, puntellamenti </w:t>
            </w:r>
            <w:proofErr w:type="spellStart"/>
            <w:r w:rsidRPr="003A4A57">
              <w:rPr>
                <w:rFonts w:asciiTheme="minorHAnsi" w:eastAsia="Times New Roman" w:hAnsiTheme="minorHAnsi" w:cstheme="minorHAnsi"/>
                <w:lang w:eastAsia="it-IT"/>
              </w:rPr>
              <w:t>etcc</w:t>
            </w:r>
            <w:proofErr w:type="spellEnd"/>
            <w:r w:rsidRPr="003A4A57">
              <w:rPr>
                <w:rFonts w:asciiTheme="minorHAnsi" w:eastAsia="Times New Roman" w:hAnsiTheme="minorHAnsi" w:cstheme="minorHAnsi"/>
                <w:lang w:eastAsia="it-IT"/>
              </w:rPr>
              <w:t>.</w:t>
            </w:r>
          </w:p>
          <w:p w:rsidR="00EF7608" w:rsidRPr="003A4A57" w:rsidRDefault="00EF7608" w:rsidP="003E01A7">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Nella successiva norma contenuta nel comma 6 sono</w:t>
            </w:r>
            <w:r w:rsidR="00C97F72" w:rsidRPr="003A4A57">
              <w:rPr>
                <w:rFonts w:asciiTheme="minorHAnsi" w:eastAsia="Times New Roman" w:hAnsiTheme="minorHAnsi" w:cstheme="minorHAnsi"/>
                <w:lang w:eastAsia="it-IT"/>
              </w:rPr>
              <w:t>, poi,</w:t>
            </w:r>
            <w:r w:rsidR="00C86E14" w:rsidRPr="003A4A57">
              <w:rPr>
                <w:rFonts w:asciiTheme="minorHAnsi" w:eastAsia="Times New Roman" w:hAnsiTheme="minorHAnsi" w:cstheme="minorHAnsi"/>
                <w:lang w:eastAsia="it-IT"/>
              </w:rPr>
              <w:t xml:space="preserve"> </w:t>
            </w:r>
            <w:r w:rsidRPr="003A4A57">
              <w:rPr>
                <w:rFonts w:asciiTheme="minorHAnsi" w:eastAsia="Times New Roman" w:hAnsiTheme="minorHAnsi" w:cstheme="minorHAnsi"/>
                <w:lang w:eastAsia="it-IT"/>
              </w:rPr>
              <w:t>indicate delle semplificazioni procedurali per l’avvio immediato dei lavori.</w:t>
            </w:r>
          </w:p>
          <w:p w:rsidR="00EF7608" w:rsidRPr="003A4A57" w:rsidRDefault="00EF7608" w:rsidP="00DF1070">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E’, infatti, consentito eseguire i lavori edilizi di “ripristino” previa comunicazione ai Comuni dell’avvio degli stessi in deroga alle norme nazionali e regionali in materia di rilascio dei titoli abilitativi, autorizzazione paesaggistica e sismica.</w:t>
            </w:r>
          </w:p>
          <w:p w:rsidR="00EF7608" w:rsidRPr="003A4A57" w:rsidRDefault="00EF7608" w:rsidP="00945912">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Entro il termine di 60 giorni dall’inizio dei lavori i soggetti interessati provvederanno a presentare la documentazione non allegata alla comunicazione di avvio del ripristino per la richiesta dell’autorizzazione paesaggi</w:t>
            </w:r>
            <w:r w:rsidR="001C75B6" w:rsidRPr="003A4A57">
              <w:rPr>
                <w:rFonts w:asciiTheme="minorHAnsi" w:eastAsia="Times New Roman" w:hAnsiTheme="minorHAnsi" w:cstheme="minorHAnsi"/>
                <w:lang w:eastAsia="it-IT"/>
              </w:rPr>
              <w:t xml:space="preserve">stica e del titolo abilitativo </w:t>
            </w:r>
            <w:r w:rsidRPr="003A4A57">
              <w:rPr>
                <w:rFonts w:asciiTheme="minorHAnsi" w:eastAsia="Times New Roman" w:hAnsiTheme="minorHAnsi" w:cstheme="minorHAnsi"/>
                <w:lang w:eastAsia="it-IT"/>
              </w:rPr>
              <w:t>edilizio nonché per la presentazione dell’istanza di autorizzazione sismica ovvero per il deposito del progetto esecutivo riguardante le strutture.</w:t>
            </w:r>
          </w:p>
          <w:p w:rsidR="008279F9" w:rsidRPr="003A4A57" w:rsidRDefault="00083253" w:rsidP="00E946E9">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Nella documentazione da presentare ai Comuni non rientra la perizia asseverata di cui al comma precedente, che costituisce dimostrazione del nesso di causalità tra gli eventi sismici e la necessità dei lavori di ripristino.</w:t>
            </w:r>
          </w:p>
        </w:tc>
      </w:tr>
      <w:tr w:rsidR="00E946E9" w:rsidRPr="003A4A57" w:rsidTr="009B457F">
        <w:tc>
          <w:tcPr>
            <w:tcW w:w="1001" w:type="pct"/>
            <w:shd w:val="clear" w:color="auto" w:fill="F2F2F2" w:themeFill="background1" w:themeFillShade="F2"/>
          </w:tcPr>
          <w:p w:rsidR="00E946E9" w:rsidRPr="003A4A57" w:rsidRDefault="00E946E9" w:rsidP="00382111">
            <w:pPr>
              <w:spacing w:after="120"/>
              <w:rPr>
                <w:rFonts w:asciiTheme="minorHAnsi" w:eastAsia="Times New Roman" w:hAnsiTheme="minorHAnsi" w:cstheme="minorHAnsi"/>
                <w:b/>
                <w:i/>
                <w:sz w:val="22"/>
                <w:szCs w:val="22"/>
                <w:lang w:eastAsia="it-IT"/>
              </w:rPr>
            </w:pPr>
          </w:p>
        </w:tc>
        <w:tc>
          <w:tcPr>
            <w:tcW w:w="3999" w:type="pct"/>
            <w:shd w:val="clear" w:color="auto" w:fill="auto"/>
          </w:tcPr>
          <w:p w:rsidR="00E946E9" w:rsidRPr="003A4A57" w:rsidRDefault="00E946E9" w:rsidP="00E946E9">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In ogni caso, in sede di conversione in legge, è opportuno effettuare nuova e più generale perimetrazione dell'area anche per evitare incertezze inter</w:t>
            </w:r>
            <w:r w:rsidR="00CB6368" w:rsidRPr="003A4A57">
              <w:rPr>
                <w:rFonts w:asciiTheme="minorHAnsi" w:eastAsia="Times New Roman" w:hAnsiTheme="minorHAnsi" w:cstheme="minorHAnsi"/>
                <w:lang w:eastAsia="it-IT"/>
              </w:rPr>
              <w:t>pretative</w:t>
            </w:r>
            <w:r w:rsidRPr="003A4A57">
              <w:rPr>
                <w:rFonts w:asciiTheme="minorHAnsi" w:eastAsia="Times New Roman" w:hAnsiTheme="minorHAnsi" w:cstheme="minorHAnsi"/>
                <w:lang w:eastAsia="it-IT"/>
              </w:rPr>
              <w:t>.</w:t>
            </w:r>
          </w:p>
          <w:p w:rsidR="00E946E9" w:rsidRPr="003A4A57" w:rsidRDefault="00E946E9" w:rsidP="00E946E9">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 xml:space="preserve">Non è chiaro se la perizia asseverata da effettuare per avviare i lavori di ripristino debba comprendere “i dati delle schede </w:t>
            </w:r>
            <w:proofErr w:type="spellStart"/>
            <w:r w:rsidRPr="003A4A57">
              <w:rPr>
                <w:rFonts w:asciiTheme="minorHAnsi" w:eastAsia="Times New Roman" w:hAnsiTheme="minorHAnsi" w:cstheme="minorHAnsi"/>
                <w:lang w:eastAsia="it-IT"/>
              </w:rPr>
              <w:t>AeDES</w:t>
            </w:r>
            <w:proofErr w:type="spellEnd"/>
            <w:r w:rsidRPr="003A4A57">
              <w:rPr>
                <w:rFonts w:asciiTheme="minorHAnsi" w:eastAsia="Times New Roman" w:hAnsiTheme="minorHAnsi" w:cstheme="minorHAnsi"/>
                <w:lang w:eastAsia="it-IT"/>
              </w:rPr>
              <w:t xml:space="preserve">”, o le medesime schede e non è definita la tempistica di esecuzione delle verifiche di agibilità secondo le schede </w:t>
            </w:r>
            <w:proofErr w:type="spellStart"/>
            <w:r w:rsidRPr="003A4A57">
              <w:rPr>
                <w:rFonts w:asciiTheme="minorHAnsi" w:eastAsia="Times New Roman" w:hAnsiTheme="minorHAnsi" w:cstheme="minorHAnsi"/>
                <w:lang w:eastAsia="it-IT"/>
              </w:rPr>
              <w:t>AeDES</w:t>
            </w:r>
            <w:proofErr w:type="spellEnd"/>
            <w:r w:rsidRPr="003A4A57">
              <w:rPr>
                <w:rFonts w:asciiTheme="minorHAnsi" w:eastAsia="Times New Roman" w:hAnsiTheme="minorHAnsi" w:cstheme="minorHAnsi"/>
                <w:lang w:eastAsia="it-IT"/>
              </w:rPr>
              <w:t>.</w:t>
            </w:r>
          </w:p>
          <w:p w:rsidR="00E946E9" w:rsidRPr="003A4A57" w:rsidRDefault="00E946E9" w:rsidP="00E946E9">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 xml:space="preserve">Nell’ipotesi che la perizia asseverata non comprenda le schede </w:t>
            </w:r>
            <w:proofErr w:type="spellStart"/>
            <w:r w:rsidRPr="003A4A57">
              <w:rPr>
                <w:rFonts w:asciiTheme="minorHAnsi" w:eastAsia="Times New Roman" w:hAnsiTheme="minorHAnsi" w:cstheme="minorHAnsi"/>
                <w:lang w:eastAsia="it-IT"/>
              </w:rPr>
              <w:t>AeDES</w:t>
            </w:r>
            <w:proofErr w:type="spellEnd"/>
            <w:r w:rsidRPr="003A4A57">
              <w:rPr>
                <w:rFonts w:asciiTheme="minorHAnsi" w:eastAsia="Times New Roman" w:hAnsiTheme="minorHAnsi" w:cstheme="minorHAnsi"/>
                <w:lang w:eastAsia="it-IT"/>
              </w:rPr>
              <w:t xml:space="preserve">, bensì “i dati delle schede </w:t>
            </w:r>
            <w:proofErr w:type="spellStart"/>
            <w:r w:rsidRPr="003A4A57">
              <w:rPr>
                <w:rFonts w:asciiTheme="minorHAnsi" w:eastAsia="Times New Roman" w:hAnsiTheme="minorHAnsi" w:cstheme="minorHAnsi"/>
                <w:lang w:eastAsia="it-IT"/>
              </w:rPr>
              <w:t>AeDES</w:t>
            </w:r>
            <w:proofErr w:type="spellEnd"/>
            <w:r w:rsidRPr="003A4A57">
              <w:rPr>
                <w:rFonts w:asciiTheme="minorHAnsi" w:eastAsia="Times New Roman" w:hAnsiTheme="minorHAnsi" w:cstheme="minorHAnsi"/>
                <w:lang w:eastAsia="it-IT"/>
              </w:rPr>
              <w:t xml:space="preserve">”, non è chiaro se, una volta terminati i lavori di ripristino, la compilazione delle schede </w:t>
            </w:r>
            <w:proofErr w:type="spellStart"/>
            <w:r w:rsidRPr="003A4A57">
              <w:rPr>
                <w:rFonts w:asciiTheme="minorHAnsi" w:eastAsia="Times New Roman" w:hAnsiTheme="minorHAnsi" w:cstheme="minorHAnsi"/>
                <w:lang w:eastAsia="it-IT"/>
              </w:rPr>
              <w:t>AeDES</w:t>
            </w:r>
            <w:proofErr w:type="spellEnd"/>
            <w:r w:rsidRPr="003A4A57">
              <w:rPr>
                <w:rFonts w:asciiTheme="minorHAnsi" w:eastAsia="Times New Roman" w:hAnsiTheme="minorHAnsi" w:cstheme="minorHAnsi"/>
                <w:lang w:eastAsia="it-IT"/>
              </w:rPr>
              <w:t xml:space="preserve"> debba essere svolta.</w:t>
            </w:r>
          </w:p>
          <w:p w:rsidR="00E946E9" w:rsidRPr="003A4A57" w:rsidRDefault="00E946E9" w:rsidP="00E946E9">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Potrebbe, altresì, risultare superflua la richiesta di rispetto dei vincoli paesaggistici, poiché si contemplano solo lavori di ripristino.</w:t>
            </w:r>
          </w:p>
          <w:p w:rsidR="00E946E9" w:rsidRPr="003A4A57" w:rsidRDefault="00E946E9" w:rsidP="00E946E9">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 xml:space="preserve">Tale procedura risponde all’esigenza di favorire il rapido rientro nelle unità immobiliari e il ritorno alle normali condizioni di vita e di lavoro, in attesa che venga completata la verifica delle agibilità, effettuate ai sensi del D.P.C.M. 5 maggio 2011 – da cui emerge che tutti gli edifici </w:t>
            </w:r>
            <w:r w:rsidR="00735F85">
              <w:rPr>
                <w:rFonts w:asciiTheme="minorHAnsi" w:eastAsia="Times New Roman" w:hAnsiTheme="minorHAnsi" w:cstheme="minorHAnsi"/>
                <w:lang w:eastAsia="it-IT"/>
              </w:rPr>
              <w:t xml:space="preserve">non rientranti nel campo di applicazione del comma 7 </w:t>
            </w:r>
            <w:r w:rsidRPr="003A4A57">
              <w:rPr>
                <w:rFonts w:asciiTheme="minorHAnsi" w:eastAsia="Times New Roman" w:hAnsiTheme="minorHAnsi" w:cstheme="minorHAnsi"/>
                <w:lang w:eastAsia="it-IT"/>
              </w:rPr>
              <w:t xml:space="preserve">devono essere sottoposti a verifica secondo le schede </w:t>
            </w:r>
            <w:proofErr w:type="spellStart"/>
            <w:r w:rsidRPr="003A4A57">
              <w:rPr>
                <w:rFonts w:asciiTheme="minorHAnsi" w:eastAsia="Times New Roman" w:hAnsiTheme="minorHAnsi" w:cstheme="minorHAnsi"/>
                <w:lang w:eastAsia="it-IT"/>
              </w:rPr>
              <w:t>AeDES</w:t>
            </w:r>
            <w:proofErr w:type="spellEnd"/>
            <w:r w:rsidRPr="003A4A57">
              <w:rPr>
                <w:rFonts w:asciiTheme="minorHAnsi" w:eastAsia="Times New Roman" w:hAnsiTheme="minorHAnsi" w:cstheme="minorHAnsi"/>
                <w:lang w:eastAsia="it-IT"/>
              </w:rPr>
              <w:t xml:space="preserve"> da parte di tecnici abilitati alla compilazione delle stesse.</w:t>
            </w:r>
          </w:p>
          <w:p w:rsidR="00E946E9" w:rsidRPr="003A4A57" w:rsidRDefault="00E946E9" w:rsidP="00E946E9">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 xml:space="preserve">I lavori di ripristino possono essere avviati previa perizia asseverata da parte di un professionista abilitato, che includa i dati delle schede </w:t>
            </w:r>
            <w:proofErr w:type="spellStart"/>
            <w:r w:rsidRPr="003A4A57">
              <w:rPr>
                <w:rFonts w:asciiTheme="minorHAnsi" w:eastAsia="Times New Roman" w:hAnsiTheme="minorHAnsi" w:cstheme="minorHAnsi"/>
                <w:lang w:eastAsia="it-IT"/>
              </w:rPr>
              <w:t>AeDES</w:t>
            </w:r>
            <w:proofErr w:type="spellEnd"/>
            <w:r w:rsidRPr="003A4A57">
              <w:rPr>
                <w:rFonts w:asciiTheme="minorHAnsi" w:eastAsia="Times New Roman" w:hAnsiTheme="minorHAnsi" w:cstheme="minorHAnsi"/>
                <w:lang w:eastAsia="it-IT"/>
              </w:rPr>
              <w:t>, integrate con una documentazione fotografica e valutazioni tecniche per evidenziare il nesso di causalità tra gli eventi sismici e lo stato della struttura, oltre alla valutazione economica del danno.</w:t>
            </w:r>
          </w:p>
          <w:p w:rsidR="00E946E9" w:rsidRPr="003A4A57" w:rsidRDefault="00E946E9" w:rsidP="00E946E9">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 xml:space="preserve">La metodologia </w:t>
            </w:r>
            <w:proofErr w:type="spellStart"/>
            <w:r w:rsidRPr="003A4A57">
              <w:rPr>
                <w:rFonts w:asciiTheme="minorHAnsi" w:eastAsia="Times New Roman" w:hAnsiTheme="minorHAnsi" w:cstheme="minorHAnsi"/>
                <w:lang w:eastAsia="it-IT"/>
              </w:rPr>
              <w:t>AeDES</w:t>
            </w:r>
            <w:proofErr w:type="spellEnd"/>
            <w:r w:rsidRPr="003A4A57">
              <w:rPr>
                <w:rFonts w:asciiTheme="minorHAnsi" w:eastAsia="Times New Roman" w:hAnsiTheme="minorHAnsi" w:cstheme="minorHAnsi"/>
                <w:lang w:eastAsia="it-IT"/>
              </w:rPr>
              <w:t xml:space="preserve"> non consente, inoltre, di quantificare il livello di sicurezza che può essere invece stimato secondo le procedure di cui al cap. 8 del D.M. 14 gennaio 2008 (“Norme Tecniche per le Costruzioni”, di seguito NTC 2008). Tale quantificazione è richiesta per gli edifici sedi di attività produttive, come disposto dal successivo </w:t>
            </w:r>
            <w:r w:rsidR="00CB6368" w:rsidRPr="003A4A57">
              <w:rPr>
                <w:rFonts w:asciiTheme="minorHAnsi" w:eastAsia="Times New Roman" w:hAnsiTheme="minorHAnsi" w:cstheme="minorHAnsi"/>
                <w:lang w:eastAsia="it-IT"/>
              </w:rPr>
              <w:t xml:space="preserve">art. 3 </w:t>
            </w:r>
            <w:r w:rsidRPr="003A4A57">
              <w:rPr>
                <w:rFonts w:asciiTheme="minorHAnsi" w:eastAsia="Times New Roman" w:hAnsiTheme="minorHAnsi" w:cstheme="minorHAnsi"/>
                <w:lang w:eastAsia="it-IT"/>
              </w:rPr>
              <w:t xml:space="preserve">comma 10. </w:t>
            </w:r>
          </w:p>
          <w:p w:rsidR="00E946E9" w:rsidRPr="003A4A57" w:rsidRDefault="00CB6368" w:rsidP="00CB6368">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 xml:space="preserve">E' </w:t>
            </w:r>
            <w:r w:rsidR="00E946E9" w:rsidRPr="003A4A57">
              <w:rPr>
                <w:rFonts w:asciiTheme="minorHAnsi" w:eastAsia="Times New Roman" w:hAnsiTheme="minorHAnsi" w:cstheme="minorHAnsi"/>
                <w:lang w:eastAsia="it-IT"/>
              </w:rPr>
              <w:t xml:space="preserve">opportuno, infine , un chiarimento sul significato della locuzione </w:t>
            </w:r>
            <w:r w:rsidRPr="003A4A57">
              <w:rPr>
                <w:rFonts w:asciiTheme="minorHAnsi" w:eastAsia="Times New Roman" w:hAnsiTheme="minorHAnsi" w:cstheme="minorHAnsi"/>
                <w:lang w:eastAsia="it-IT"/>
              </w:rPr>
              <w:t xml:space="preserve"> contenuta nell'art. 3 comma 2 ovvero </w:t>
            </w:r>
            <w:r w:rsidR="00E946E9" w:rsidRPr="003A4A57">
              <w:rPr>
                <w:rFonts w:asciiTheme="minorHAnsi" w:eastAsia="Times New Roman" w:hAnsiTheme="minorHAnsi" w:cstheme="minorHAnsi"/>
                <w:lang w:eastAsia="it-IT"/>
              </w:rPr>
              <w:t>“</w:t>
            </w:r>
            <w:r w:rsidRPr="003A4A57">
              <w:rPr>
                <w:rFonts w:asciiTheme="minorHAnsi" w:eastAsia="Times New Roman" w:hAnsiTheme="minorHAnsi" w:cstheme="minorHAnsi"/>
                <w:lang w:eastAsia="it-IT"/>
              </w:rPr>
              <w:t xml:space="preserve">costruzioni </w:t>
            </w:r>
            <w:r w:rsidR="00E946E9" w:rsidRPr="003A4A57">
              <w:rPr>
                <w:rFonts w:asciiTheme="minorHAnsi" w:eastAsia="Times New Roman" w:hAnsiTheme="minorHAnsi" w:cstheme="minorHAnsi"/>
                <w:lang w:eastAsia="it-IT"/>
              </w:rPr>
              <w:t>utilizzate alla data del 20 maggio 2012”, che può indurre a pensare che siano esclusi dalla concessione dei contributi gli immobili che a quella data fossero, ad esempio, in fase di costruzione o invenduti o inutilizzati.</w:t>
            </w:r>
          </w:p>
        </w:tc>
      </w:tr>
      <w:tr w:rsidR="002E3C46" w:rsidRPr="003A4A57" w:rsidTr="00735F85">
        <w:tc>
          <w:tcPr>
            <w:tcW w:w="1001" w:type="pct"/>
            <w:shd w:val="clear" w:color="auto" w:fill="F2F2F2" w:themeFill="background1" w:themeFillShade="F2"/>
          </w:tcPr>
          <w:p w:rsidR="002E3C46" w:rsidRPr="003A4A57" w:rsidRDefault="002E3C46" w:rsidP="00735F85">
            <w:pPr>
              <w:spacing w:after="120"/>
              <w:rPr>
                <w:rFonts w:asciiTheme="minorHAnsi" w:eastAsia="Times New Roman" w:hAnsiTheme="minorHAnsi" w:cstheme="minorHAnsi"/>
                <w:b/>
                <w:i/>
                <w:sz w:val="22"/>
                <w:szCs w:val="22"/>
                <w:lang w:eastAsia="it-IT"/>
              </w:rPr>
            </w:pPr>
            <w:r w:rsidRPr="003A4A57">
              <w:rPr>
                <w:rFonts w:asciiTheme="minorHAnsi" w:eastAsia="Times New Roman" w:hAnsiTheme="minorHAnsi" w:cstheme="minorHAnsi"/>
                <w:b/>
                <w:i/>
                <w:sz w:val="22"/>
                <w:szCs w:val="22"/>
                <w:lang w:eastAsia="it-IT"/>
              </w:rPr>
              <w:t>Agibilità sismica - attività produttive</w:t>
            </w:r>
          </w:p>
        </w:tc>
        <w:tc>
          <w:tcPr>
            <w:tcW w:w="3999" w:type="pct"/>
            <w:shd w:val="clear" w:color="auto" w:fill="auto"/>
          </w:tcPr>
          <w:p w:rsidR="002E3C46" w:rsidRPr="003A4A57" w:rsidRDefault="002E3C46" w:rsidP="00735F85">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L’art. 3, comma 7, disciplina la certificazione di agibilità sismica per tutti gli edifici sedi di attività produttive nei Comuni di cui all’Allegato 1, che abbiano o meno subito danni, non inclusi nel campo di applicazione del comma 5.</w:t>
            </w:r>
          </w:p>
          <w:p w:rsidR="002E3C46" w:rsidRPr="003A4A57" w:rsidRDefault="002E3C46" w:rsidP="00735F85">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 xml:space="preserve">La verifica di sicurezza necessaria all’acquisizione della certificazione di agibilità deve essere svolta secondo i metodi di cui alle NTC 2008, cap. 8, da un professionista abilitato. La certificazione deve poi essere depositata al Comune. </w:t>
            </w:r>
          </w:p>
          <w:p w:rsidR="002E3C46" w:rsidRDefault="002E3C46" w:rsidP="00735F85">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Poiché la verifica di cui alle NTC 2008 richiede tempi mediamente lunghi, è prevista, all’art. 3, comma 8, la possibilità di dotarsi, in via provvisoria, di un certificato di agibilità sismica qualora l’edificio in oggetto non presenti le carenze strutturali elencate nel medesimo comma, o qualora le stesse siano state adeguatamente risolte.</w:t>
            </w:r>
          </w:p>
          <w:p w:rsidR="00735F85" w:rsidRPr="00735F85" w:rsidRDefault="00735F85" w:rsidP="00735F85">
            <w:pPr>
              <w:spacing w:after="120"/>
              <w:jc w:val="both"/>
              <w:rPr>
                <w:rFonts w:asciiTheme="minorHAnsi" w:eastAsia="Times New Roman" w:hAnsiTheme="minorHAnsi" w:cstheme="minorHAnsi"/>
                <w:lang w:eastAsia="it-IT"/>
              </w:rPr>
            </w:pPr>
            <w:r w:rsidRPr="00735F85">
              <w:rPr>
                <w:rFonts w:asciiTheme="minorHAnsi" w:eastAsia="Times New Roman" w:hAnsiTheme="minorHAnsi" w:cstheme="minorHAnsi"/>
                <w:lang w:eastAsia="it-IT"/>
              </w:rPr>
              <w:t>In considerazione dell’elevatissimo numero di edifici industriali coinvolti, da prime stime comprese tra i 10.000- 20.000 unità, si ritiene necessario stabilire delle priorità nell’esecuzione delle verifiche, pur garantendo i requisiti generali di sicurezza, che siano compatibili con i tempi necessari allo svolgimento delle verifiche stesse.</w:t>
            </w:r>
          </w:p>
          <w:p w:rsidR="00735F85" w:rsidRPr="00735F85" w:rsidRDefault="00735F85" w:rsidP="00735F85">
            <w:pPr>
              <w:spacing w:after="120"/>
              <w:jc w:val="both"/>
              <w:rPr>
                <w:rFonts w:asciiTheme="minorHAnsi" w:eastAsia="Times New Roman" w:hAnsiTheme="minorHAnsi" w:cstheme="minorHAnsi"/>
                <w:lang w:eastAsia="it-IT"/>
              </w:rPr>
            </w:pPr>
            <w:r w:rsidRPr="00735F85">
              <w:rPr>
                <w:rFonts w:asciiTheme="minorHAnsi" w:eastAsia="Times New Roman" w:hAnsiTheme="minorHAnsi" w:cstheme="minorHAnsi"/>
                <w:lang w:eastAsia="it-IT"/>
              </w:rPr>
              <w:t>Si potrebbe prevedere di esimere dalle verifiche gli immobili che non abbiano subito danni dal sisma. La condizione deve essere dimostrata con perizia asseverata da parte di tecnico abilitato.</w:t>
            </w:r>
          </w:p>
          <w:p w:rsidR="00735F85" w:rsidRPr="00735F85" w:rsidRDefault="00735F85" w:rsidP="00735F85">
            <w:pPr>
              <w:spacing w:after="120"/>
              <w:jc w:val="both"/>
              <w:rPr>
                <w:rFonts w:asciiTheme="minorHAnsi" w:eastAsia="Times New Roman" w:hAnsiTheme="minorHAnsi" w:cstheme="minorHAnsi"/>
                <w:lang w:eastAsia="it-IT"/>
              </w:rPr>
            </w:pPr>
            <w:r w:rsidRPr="00735F85">
              <w:rPr>
                <w:rFonts w:asciiTheme="minorHAnsi" w:eastAsia="Times New Roman" w:hAnsiTheme="minorHAnsi" w:cstheme="minorHAnsi"/>
                <w:lang w:eastAsia="it-IT"/>
              </w:rPr>
              <w:t>Nel caso non si rientri nella situazione di cui sopra la verifica deve essere svolta sulla base di criteri e tempistiche definite da apposito Decreto del Presidente del Consiglio dei Ministri.</w:t>
            </w:r>
          </w:p>
          <w:p w:rsidR="00735F85" w:rsidRPr="00735F85" w:rsidRDefault="00735F85" w:rsidP="00735F85">
            <w:pPr>
              <w:spacing w:after="120"/>
              <w:jc w:val="both"/>
              <w:rPr>
                <w:rFonts w:asciiTheme="minorHAnsi" w:eastAsia="Times New Roman" w:hAnsiTheme="minorHAnsi" w:cstheme="minorHAnsi"/>
                <w:lang w:eastAsia="it-IT"/>
              </w:rPr>
            </w:pPr>
            <w:r w:rsidRPr="00735F85">
              <w:rPr>
                <w:rFonts w:asciiTheme="minorHAnsi" w:eastAsia="Times New Roman" w:hAnsiTheme="minorHAnsi" w:cstheme="minorHAnsi"/>
                <w:lang w:eastAsia="it-IT"/>
              </w:rPr>
              <w:t>Dai primi studi e verifiche condotte sugli immobili produttivi, risulta infatti che la quasi totalità degli immobili esistenti non potrà essere oggetto di interventi che consentano di conseguire un valore di sicurezza pari almeno al 60% di un analogo edificio nuovo.</w:t>
            </w:r>
          </w:p>
          <w:p w:rsidR="002E3C46" w:rsidRPr="00B8777A" w:rsidRDefault="00735F85" w:rsidP="001761AC">
            <w:pPr>
              <w:spacing w:after="120"/>
              <w:jc w:val="both"/>
              <w:rPr>
                <w:rFonts w:asciiTheme="minorHAnsi" w:eastAsia="Times New Roman" w:hAnsiTheme="minorHAnsi" w:cstheme="minorHAnsi"/>
                <w:lang w:eastAsia="it-IT"/>
              </w:rPr>
            </w:pPr>
            <w:r w:rsidRPr="00735F85">
              <w:rPr>
                <w:rFonts w:asciiTheme="minorHAnsi" w:eastAsia="Times New Roman" w:hAnsiTheme="minorHAnsi" w:cstheme="minorHAnsi"/>
                <w:lang w:eastAsia="it-IT"/>
              </w:rPr>
              <w:t>Sarebbe, quindi, opportuno sostituire l’attuale comma 10 dell’art. 3 con la previsione di emanare entro 60 giorni un Decreto del presidente del Consiglio dei Ministri che, effettuate le opportune verifiche anche alla luce degli studi e attività avviate in questi ultimi giorni, definisca i criteri di priorità per sottoporre a verifica gli immobili danneggiati ed il livello minimo di sicurezza da conseguire che garantisca esclusivamente incolumità delle persone.</w:t>
            </w:r>
          </w:p>
        </w:tc>
      </w:tr>
      <w:tr w:rsidR="00EF7608" w:rsidRPr="003A4A57" w:rsidTr="009B457F">
        <w:tc>
          <w:tcPr>
            <w:tcW w:w="1001" w:type="pct"/>
            <w:shd w:val="clear" w:color="auto" w:fill="F2F2F2" w:themeFill="background1" w:themeFillShade="F2"/>
          </w:tcPr>
          <w:p w:rsidR="00EF7608" w:rsidRPr="003A4A57" w:rsidRDefault="00EF7608" w:rsidP="00382111">
            <w:pPr>
              <w:spacing w:after="120"/>
              <w:rPr>
                <w:rFonts w:asciiTheme="minorHAnsi" w:eastAsia="Times New Roman" w:hAnsiTheme="minorHAnsi" w:cstheme="minorHAnsi"/>
                <w:b/>
                <w:i/>
                <w:sz w:val="22"/>
                <w:szCs w:val="22"/>
                <w:lang w:eastAsia="it-IT"/>
              </w:rPr>
            </w:pPr>
            <w:r w:rsidRPr="003A4A57">
              <w:rPr>
                <w:rFonts w:asciiTheme="minorHAnsi" w:eastAsia="Times New Roman" w:hAnsiTheme="minorHAnsi" w:cstheme="minorHAnsi"/>
                <w:b/>
                <w:i/>
                <w:sz w:val="22"/>
                <w:szCs w:val="22"/>
                <w:lang w:eastAsia="it-IT"/>
              </w:rPr>
              <w:t>Tipologia dei contributi</w:t>
            </w:r>
          </w:p>
        </w:tc>
        <w:tc>
          <w:tcPr>
            <w:tcW w:w="3999" w:type="pct"/>
            <w:shd w:val="clear" w:color="auto" w:fill="auto"/>
          </w:tcPr>
          <w:p w:rsidR="00EF7608" w:rsidRPr="003A4A57" w:rsidRDefault="005C3923" w:rsidP="00DF1070">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I</w:t>
            </w:r>
            <w:r w:rsidR="00EF7608" w:rsidRPr="003A4A57">
              <w:rPr>
                <w:rFonts w:asciiTheme="minorHAnsi" w:eastAsia="Times New Roman" w:hAnsiTheme="minorHAnsi" w:cstheme="minorHAnsi"/>
                <w:lang w:eastAsia="it-IT"/>
              </w:rPr>
              <w:t>n riferiment</w:t>
            </w:r>
            <w:r w:rsidR="00981C5D" w:rsidRPr="003A4A57">
              <w:rPr>
                <w:rFonts w:asciiTheme="minorHAnsi" w:eastAsia="Times New Roman" w:hAnsiTheme="minorHAnsi" w:cstheme="minorHAnsi"/>
                <w:lang w:eastAsia="it-IT"/>
              </w:rPr>
              <w:t xml:space="preserve">o alla tipologia di contributi </w:t>
            </w:r>
            <w:r w:rsidR="00EF7608" w:rsidRPr="003A4A57">
              <w:rPr>
                <w:rFonts w:asciiTheme="minorHAnsi" w:eastAsia="Times New Roman" w:hAnsiTheme="minorHAnsi" w:cstheme="minorHAnsi"/>
                <w:lang w:eastAsia="it-IT"/>
              </w:rPr>
              <w:t>il decreto prevede che i Presidenti delle Regioni possano disporre la concessione degli stessi per:</w:t>
            </w:r>
          </w:p>
          <w:p w:rsidR="00EF7608" w:rsidRPr="003A4A57" w:rsidRDefault="00EF7608" w:rsidP="007A58D6">
            <w:pPr>
              <w:pStyle w:val="Paragrafoelenco"/>
              <w:numPr>
                <w:ilvl w:val="0"/>
                <w:numId w:val="17"/>
              </w:num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la riparazione, ripristino o la ricostruzione degli immobili di edilizia abitativa, ad uso produttivo e per servizi pubblici e privati</w:t>
            </w:r>
            <w:r w:rsidR="00716512" w:rsidRPr="003A4A57">
              <w:rPr>
                <w:rFonts w:asciiTheme="minorHAnsi" w:eastAsia="Times New Roman" w:hAnsiTheme="minorHAnsi" w:cstheme="minorHAnsi"/>
                <w:lang w:eastAsia="it-IT"/>
              </w:rPr>
              <w:t>;</w:t>
            </w:r>
          </w:p>
          <w:p w:rsidR="00EF7608" w:rsidRPr="003A4A57" w:rsidRDefault="00EF7608" w:rsidP="007A58D6">
            <w:pPr>
              <w:pStyle w:val="Paragrafoelenco"/>
              <w:numPr>
                <w:ilvl w:val="0"/>
                <w:numId w:val="17"/>
              </w:num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attività produttive, industriali, agricole, commerciali, artigianali, turistiche</w:t>
            </w:r>
            <w:r w:rsidR="00981C5D" w:rsidRPr="003A4A57">
              <w:rPr>
                <w:rFonts w:asciiTheme="minorHAnsi" w:eastAsia="Times New Roman" w:hAnsiTheme="minorHAnsi" w:cstheme="minorHAnsi"/>
                <w:lang w:eastAsia="it-IT"/>
              </w:rPr>
              <w:t>,</w:t>
            </w:r>
            <w:r w:rsidRPr="003A4A57">
              <w:rPr>
                <w:rFonts w:asciiTheme="minorHAnsi" w:eastAsia="Times New Roman" w:hAnsiTheme="minorHAnsi" w:cstheme="minorHAnsi"/>
                <w:lang w:eastAsia="it-IT"/>
              </w:rPr>
              <w:t xml:space="preserve"> </w:t>
            </w:r>
            <w:proofErr w:type="spellStart"/>
            <w:r w:rsidRPr="003A4A57">
              <w:rPr>
                <w:rFonts w:asciiTheme="minorHAnsi" w:eastAsia="Times New Roman" w:hAnsiTheme="minorHAnsi" w:cstheme="minorHAnsi"/>
                <w:lang w:eastAsia="it-IT"/>
              </w:rPr>
              <w:t>etcc</w:t>
            </w:r>
            <w:proofErr w:type="spellEnd"/>
            <w:r w:rsidR="00716512" w:rsidRPr="003A4A57">
              <w:rPr>
                <w:rFonts w:asciiTheme="minorHAnsi" w:eastAsia="Times New Roman" w:hAnsiTheme="minorHAnsi" w:cstheme="minorHAnsi"/>
                <w:lang w:eastAsia="it-IT"/>
              </w:rPr>
              <w:t>.;</w:t>
            </w:r>
          </w:p>
          <w:p w:rsidR="00EF7608" w:rsidRPr="003A4A57" w:rsidRDefault="00EF7608" w:rsidP="007A58D6">
            <w:pPr>
              <w:pStyle w:val="Paragrafoelenco"/>
              <w:numPr>
                <w:ilvl w:val="0"/>
                <w:numId w:val="17"/>
              </w:num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attività sociali, ricreative, sportive e religiose</w:t>
            </w:r>
            <w:r w:rsidR="00716512" w:rsidRPr="003A4A57">
              <w:rPr>
                <w:rFonts w:asciiTheme="minorHAnsi" w:eastAsia="Times New Roman" w:hAnsiTheme="minorHAnsi" w:cstheme="minorHAnsi"/>
                <w:lang w:eastAsia="it-IT"/>
              </w:rPr>
              <w:t>;</w:t>
            </w:r>
          </w:p>
          <w:p w:rsidR="00EF7608" w:rsidRPr="003A4A57" w:rsidRDefault="00EF7608" w:rsidP="007A58D6">
            <w:pPr>
              <w:pStyle w:val="Paragrafoelenco"/>
              <w:numPr>
                <w:ilvl w:val="0"/>
                <w:numId w:val="17"/>
              </w:num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edifici di interesse storico-artistico</w:t>
            </w:r>
            <w:r w:rsidR="00716512" w:rsidRPr="003A4A57">
              <w:rPr>
                <w:rFonts w:asciiTheme="minorHAnsi" w:eastAsia="Times New Roman" w:hAnsiTheme="minorHAnsi" w:cstheme="minorHAnsi"/>
                <w:lang w:eastAsia="it-IT"/>
              </w:rPr>
              <w:t>;</w:t>
            </w:r>
          </w:p>
          <w:p w:rsidR="00EF7608" w:rsidRPr="003A4A57" w:rsidRDefault="00EF7608" w:rsidP="007A58D6">
            <w:pPr>
              <w:pStyle w:val="Paragrafoelenco"/>
              <w:numPr>
                <w:ilvl w:val="0"/>
                <w:numId w:val="17"/>
              </w:num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gli oneri sostenuti dai soggetti sgombrati conseguenti a traslochi e depositi, nonché le risorse necessarie all’allestimento degli alloggi temporanei</w:t>
            </w:r>
            <w:r w:rsidR="00716512" w:rsidRPr="003A4A57">
              <w:rPr>
                <w:rFonts w:asciiTheme="minorHAnsi" w:eastAsia="Times New Roman" w:hAnsiTheme="minorHAnsi" w:cstheme="minorHAnsi"/>
                <w:lang w:eastAsia="it-IT"/>
              </w:rPr>
              <w:t>;</w:t>
            </w:r>
          </w:p>
          <w:p w:rsidR="00EF7608" w:rsidRPr="003A4A57" w:rsidRDefault="00EF7608" w:rsidP="007A58D6">
            <w:pPr>
              <w:pStyle w:val="Paragrafoelenco"/>
              <w:numPr>
                <w:ilvl w:val="0"/>
                <w:numId w:val="17"/>
              </w:num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la delocalizzazione temporanea delle attività danneggiate al fine di garantirne la continuità produttiva</w:t>
            </w:r>
            <w:r w:rsidR="00981C5D" w:rsidRPr="003A4A57">
              <w:rPr>
                <w:rFonts w:asciiTheme="minorHAnsi" w:eastAsia="Times New Roman" w:hAnsiTheme="minorHAnsi" w:cstheme="minorHAnsi"/>
                <w:lang w:eastAsia="it-IT"/>
              </w:rPr>
              <w:t>.</w:t>
            </w:r>
          </w:p>
          <w:p w:rsidR="008279F9" w:rsidRPr="003A4A57" w:rsidRDefault="001855E2" w:rsidP="001C75B6">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 xml:space="preserve">Poiché </w:t>
            </w:r>
            <w:r w:rsidRPr="003A4A57">
              <w:rPr>
                <w:rFonts w:asciiTheme="minorHAnsi" w:eastAsia="Times New Roman" w:hAnsiTheme="minorHAnsi" w:cstheme="minorHAnsi"/>
                <w:b/>
                <w:lang w:eastAsia="it-IT"/>
              </w:rPr>
              <w:t>s</w:t>
            </w:r>
            <w:r w:rsidR="00EF7608" w:rsidRPr="003A4A57">
              <w:rPr>
                <w:rFonts w:asciiTheme="minorHAnsi" w:eastAsia="Times New Roman" w:hAnsiTheme="minorHAnsi" w:cstheme="minorHAnsi"/>
                <w:b/>
                <w:lang w:eastAsia="it-IT"/>
              </w:rPr>
              <w:t>aranno i presidenti delle Regioni a stabilire le relative priorità, modalità e percentuali</w:t>
            </w:r>
            <w:r w:rsidRPr="003A4A57">
              <w:rPr>
                <w:rFonts w:asciiTheme="minorHAnsi" w:eastAsia="Times New Roman" w:hAnsiTheme="minorHAnsi" w:cstheme="minorHAnsi"/>
                <w:b/>
                <w:lang w:eastAsia="it-IT"/>
              </w:rPr>
              <w:t xml:space="preserve">, </w:t>
            </w:r>
            <w:r w:rsidR="00EF7608" w:rsidRPr="003A4A57">
              <w:rPr>
                <w:rFonts w:asciiTheme="minorHAnsi" w:eastAsia="Times New Roman" w:hAnsiTheme="minorHAnsi" w:cstheme="minorHAnsi"/>
                <w:b/>
                <w:lang w:eastAsia="it-IT"/>
              </w:rPr>
              <w:t xml:space="preserve">è opportuno che vengano esaminati </w:t>
            </w:r>
            <w:r w:rsidRPr="003A4A57">
              <w:rPr>
                <w:rFonts w:asciiTheme="minorHAnsi" w:eastAsia="Times New Roman" w:hAnsiTheme="minorHAnsi" w:cstheme="minorHAnsi"/>
                <w:b/>
                <w:lang w:eastAsia="it-IT"/>
              </w:rPr>
              <w:t xml:space="preserve">quanto prima </w:t>
            </w:r>
            <w:r w:rsidR="00EF7608" w:rsidRPr="003A4A57">
              <w:rPr>
                <w:rFonts w:asciiTheme="minorHAnsi" w:eastAsia="Times New Roman" w:hAnsiTheme="minorHAnsi" w:cstheme="minorHAnsi"/>
                <w:b/>
                <w:lang w:eastAsia="it-IT"/>
              </w:rPr>
              <w:t>tutti gli aspetti volti a dirimere eventuali problematicità</w:t>
            </w:r>
            <w:r w:rsidR="00EF7608" w:rsidRPr="003A4A57">
              <w:rPr>
                <w:rFonts w:asciiTheme="minorHAnsi" w:eastAsia="Times New Roman" w:hAnsiTheme="minorHAnsi" w:cstheme="minorHAnsi"/>
                <w:lang w:eastAsia="it-IT"/>
              </w:rPr>
              <w:t xml:space="preserve"> come quelle emerse successivamente all’emanazione del DL 39/2009 e delle successive ordinanze quali ad esempio: rapporto tra prima e seconda casa; contributi ad immobili in fase di costruzione; danneggiamento parti comuni degli edifici; liquidazione del contribuito al danneggiato e rapporto con l’impresa esecutrice dei lavori</w:t>
            </w:r>
            <w:r w:rsidR="003553D7" w:rsidRPr="003A4A57">
              <w:rPr>
                <w:rFonts w:asciiTheme="minorHAnsi" w:eastAsia="Times New Roman" w:hAnsiTheme="minorHAnsi" w:cstheme="minorHAnsi"/>
                <w:lang w:eastAsia="it-IT"/>
              </w:rPr>
              <w:t>,</w:t>
            </w:r>
            <w:r w:rsidR="00EF7608" w:rsidRPr="003A4A57">
              <w:rPr>
                <w:rFonts w:asciiTheme="minorHAnsi" w:eastAsia="Times New Roman" w:hAnsiTheme="minorHAnsi" w:cstheme="minorHAnsi"/>
                <w:lang w:eastAsia="it-IT"/>
              </w:rPr>
              <w:t xml:space="preserve"> ecc.</w:t>
            </w:r>
          </w:p>
        </w:tc>
      </w:tr>
      <w:tr w:rsidR="007A58D6" w:rsidRPr="003A4A57" w:rsidTr="009B457F">
        <w:tc>
          <w:tcPr>
            <w:tcW w:w="1001" w:type="pct"/>
            <w:shd w:val="clear" w:color="auto" w:fill="F2F2F2" w:themeFill="background1" w:themeFillShade="F2"/>
          </w:tcPr>
          <w:p w:rsidR="007A58D6" w:rsidRPr="003A4A57" w:rsidRDefault="007A58D6" w:rsidP="00382111">
            <w:pPr>
              <w:spacing w:after="120"/>
              <w:rPr>
                <w:rFonts w:asciiTheme="minorHAnsi" w:eastAsia="Times New Roman" w:hAnsiTheme="minorHAnsi" w:cstheme="minorHAnsi"/>
                <w:b/>
                <w:i/>
                <w:sz w:val="22"/>
                <w:szCs w:val="22"/>
                <w:lang w:eastAsia="it-IT"/>
              </w:rPr>
            </w:pPr>
            <w:r w:rsidRPr="003A4A57">
              <w:rPr>
                <w:rFonts w:asciiTheme="minorHAnsi" w:eastAsia="Times New Roman" w:hAnsiTheme="minorHAnsi" w:cstheme="minorHAnsi"/>
                <w:b/>
                <w:i/>
                <w:sz w:val="22"/>
                <w:szCs w:val="22"/>
                <w:lang w:eastAsia="it-IT"/>
              </w:rPr>
              <w:t>Delocalizzazione attività produttive</w:t>
            </w:r>
          </w:p>
        </w:tc>
        <w:tc>
          <w:tcPr>
            <w:tcW w:w="3999" w:type="pct"/>
            <w:shd w:val="clear" w:color="auto" w:fill="auto"/>
          </w:tcPr>
          <w:p w:rsidR="007A58D6" w:rsidRPr="003A4A57" w:rsidRDefault="007A58D6" w:rsidP="00996E98">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 xml:space="preserve">Al fine di evitare "l'impoverimento del tessuto produttivo dell'area"  la questione della </w:t>
            </w:r>
            <w:r w:rsidRPr="003A4A57">
              <w:rPr>
                <w:rFonts w:asciiTheme="minorHAnsi" w:eastAsia="Times New Roman" w:hAnsiTheme="minorHAnsi" w:cstheme="minorHAnsi"/>
                <w:b/>
                <w:lang w:eastAsia="it-IT"/>
              </w:rPr>
              <w:t>delocalizzazione</w:t>
            </w:r>
            <w:r w:rsidRPr="003A4A57">
              <w:rPr>
                <w:rFonts w:asciiTheme="minorHAnsi" w:eastAsia="Times New Roman" w:hAnsiTheme="minorHAnsi" w:cstheme="minorHAnsi"/>
                <w:lang w:eastAsia="it-IT"/>
              </w:rPr>
              <w:t xml:space="preserve"> va affrontata con molta cautela secondo due linee:</w:t>
            </w:r>
          </w:p>
          <w:p w:rsidR="007A58D6" w:rsidRPr="003A4A57" w:rsidRDefault="007A58D6" w:rsidP="007A58D6">
            <w:pPr>
              <w:pStyle w:val="Paragrafoelenco"/>
              <w:numPr>
                <w:ilvl w:val="0"/>
                <w:numId w:val="17"/>
              </w:num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la delocalizzazione temporanea attraverso il ricorso ad altri immobi</w:t>
            </w:r>
            <w:r w:rsidR="009972E9" w:rsidRPr="003A4A57">
              <w:rPr>
                <w:rFonts w:asciiTheme="minorHAnsi" w:eastAsia="Times New Roman" w:hAnsiTheme="minorHAnsi" w:cstheme="minorHAnsi"/>
                <w:lang w:eastAsia="it-IT"/>
              </w:rPr>
              <w:t>li idonei all'interno dell'area del sisma;</w:t>
            </w:r>
          </w:p>
          <w:p w:rsidR="007A58D6" w:rsidRPr="003A4A57" w:rsidRDefault="007A58D6" w:rsidP="007A58D6">
            <w:pPr>
              <w:pStyle w:val="Paragrafoelenco"/>
              <w:numPr>
                <w:ilvl w:val="0"/>
                <w:numId w:val="17"/>
              </w:num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la delocalizzazione in altre aree ritenute idonee dal Comune in deroga alle previsioni urbanisti</w:t>
            </w:r>
            <w:r w:rsidR="009972E9" w:rsidRPr="003A4A57">
              <w:rPr>
                <w:rFonts w:asciiTheme="minorHAnsi" w:eastAsia="Times New Roman" w:hAnsiTheme="minorHAnsi" w:cstheme="minorHAnsi"/>
                <w:lang w:eastAsia="it-IT"/>
              </w:rPr>
              <w:t>che con le modalità dell'urgenza</w:t>
            </w:r>
            <w:r w:rsidRPr="003A4A57">
              <w:rPr>
                <w:rFonts w:asciiTheme="minorHAnsi" w:eastAsia="Times New Roman" w:hAnsiTheme="minorHAnsi" w:cstheme="minorHAnsi"/>
                <w:lang w:eastAsia="it-IT"/>
              </w:rPr>
              <w:t xml:space="preserve"> e</w:t>
            </w:r>
            <w:r w:rsidR="00E57E75" w:rsidRPr="003A4A57">
              <w:rPr>
                <w:rFonts w:asciiTheme="minorHAnsi" w:eastAsia="Times New Roman" w:hAnsiTheme="minorHAnsi" w:cstheme="minorHAnsi"/>
                <w:lang w:eastAsia="it-IT"/>
              </w:rPr>
              <w:t xml:space="preserve"> </w:t>
            </w:r>
            <w:r w:rsidRPr="003A4A57">
              <w:rPr>
                <w:rFonts w:asciiTheme="minorHAnsi" w:eastAsia="Times New Roman" w:hAnsiTheme="minorHAnsi" w:cstheme="minorHAnsi"/>
                <w:lang w:eastAsia="it-IT"/>
              </w:rPr>
              <w:t xml:space="preserve"> </w:t>
            </w:r>
            <w:r w:rsidR="00E57E75" w:rsidRPr="003A4A57">
              <w:rPr>
                <w:rFonts w:asciiTheme="minorHAnsi" w:eastAsia="Times New Roman" w:hAnsiTheme="minorHAnsi" w:cstheme="minorHAnsi"/>
                <w:lang w:eastAsia="it-IT"/>
              </w:rPr>
              <w:t xml:space="preserve">della pubblica utilità </w:t>
            </w:r>
            <w:r w:rsidRPr="003A4A57">
              <w:rPr>
                <w:rFonts w:asciiTheme="minorHAnsi" w:eastAsia="Times New Roman" w:hAnsiTheme="minorHAnsi" w:cstheme="minorHAnsi"/>
                <w:lang w:eastAsia="it-IT"/>
              </w:rPr>
              <w:t>dell'indifferibilità (nel qual caso l'area di risulta sarà ceduta al Comune).</w:t>
            </w:r>
          </w:p>
          <w:p w:rsidR="00E57E75" w:rsidRPr="003A4A57" w:rsidRDefault="007A58D6" w:rsidP="00E57E75">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In via ulteriore si deve consentire, ove vi siano le condizioni (es. distanze dai fabbricati/strade), ecc.), di demolire e ricostruire gli immobili produttivi con incrementi di superficie in presenza di documentati piani di sviluppo aziendale.</w:t>
            </w:r>
            <w:r w:rsidR="00E57E75" w:rsidRPr="003A4A57">
              <w:rPr>
                <w:rFonts w:asciiTheme="minorHAnsi" w:eastAsia="Times New Roman" w:hAnsiTheme="minorHAnsi" w:cstheme="minorHAnsi"/>
                <w:lang w:eastAsia="it-IT"/>
              </w:rPr>
              <w:t xml:space="preserve"> </w:t>
            </w:r>
          </w:p>
          <w:p w:rsidR="007A58D6" w:rsidRPr="003A4A57" w:rsidRDefault="00E57E75" w:rsidP="00E57E75">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In ogni caso va scongiurata la delocalizzazione definitiva "fuori area".</w:t>
            </w:r>
          </w:p>
        </w:tc>
      </w:tr>
      <w:tr w:rsidR="00EF7608" w:rsidRPr="003A4A57" w:rsidTr="009B457F">
        <w:tc>
          <w:tcPr>
            <w:tcW w:w="1001" w:type="pct"/>
            <w:shd w:val="clear" w:color="auto" w:fill="F2F2F2" w:themeFill="background1" w:themeFillShade="F2"/>
          </w:tcPr>
          <w:p w:rsidR="00EF7608" w:rsidRPr="003A4A57" w:rsidRDefault="00EF7608" w:rsidP="00382111">
            <w:pPr>
              <w:spacing w:after="120"/>
              <w:rPr>
                <w:rFonts w:asciiTheme="minorHAnsi" w:eastAsia="Times New Roman" w:hAnsiTheme="minorHAnsi" w:cstheme="minorHAnsi"/>
                <w:b/>
                <w:i/>
                <w:sz w:val="22"/>
                <w:szCs w:val="22"/>
                <w:lang w:eastAsia="it-IT"/>
              </w:rPr>
            </w:pPr>
            <w:r w:rsidRPr="003A4A57">
              <w:rPr>
                <w:rFonts w:asciiTheme="minorHAnsi" w:eastAsia="Times New Roman" w:hAnsiTheme="minorHAnsi" w:cstheme="minorHAnsi"/>
                <w:b/>
                <w:i/>
                <w:sz w:val="22"/>
                <w:szCs w:val="22"/>
                <w:lang w:eastAsia="it-IT"/>
              </w:rPr>
              <w:t>Necessità di procedure snelle</w:t>
            </w:r>
          </w:p>
        </w:tc>
        <w:tc>
          <w:tcPr>
            <w:tcW w:w="3999" w:type="pct"/>
            <w:shd w:val="clear" w:color="auto" w:fill="auto"/>
          </w:tcPr>
          <w:p w:rsidR="008279F9" w:rsidRPr="003A4A57" w:rsidRDefault="00EF7608" w:rsidP="001C75B6">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 xml:space="preserve">E’, inoltre, importante che tutto </w:t>
            </w:r>
            <w:r w:rsidRPr="003A4A57">
              <w:rPr>
                <w:rFonts w:asciiTheme="minorHAnsi" w:eastAsia="Times New Roman" w:hAnsiTheme="minorHAnsi" w:cstheme="minorHAnsi"/>
                <w:b/>
                <w:lang w:eastAsia="it-IT"/>
              </w:rPr>
              <w:t>il procedimento di erogazione dei contributi</w:t>
            </w:r>
            <w:r w:rsidRPr="003A4A57">
              <w:rPr>
                <w:rFonts w:asciiTheme="minorHAnsi" w:eastAsia="Times New Roman" w:hAnsiTheme="minorHAnsi" w:cstheme="minorHAnsi"/>
                <w:lang w:eastAsia="it-IT"/>
              </w:rPr>
              <w:t xml:space="preserve"> (istruttoria tecnica, amministrativa e di congruità economica) sia accompagnato da procedure snelle soprattutto con riferimento agli interventi di maggior rilievo (edifici classificati E) al fine di non incorrere in possibili rallentamenti come accaduto all’Aquila.</w:t>
            </w:r>
          </w:p>
        </w:tc>
      </w:tr>
      <w:tr w:rsidR="00EF7608" w:rsidRPr="003A4A57" w:rsidTr="009B457F">
        <w:tc>
          <w:tcPr>
            <w:tcW w:w="1001" w:type="pct"/>
            <w:shd w:val="clear" w:color="auto" w:fill="F2F2F2" w:themeFill="background1" w:themeFillShade="F2"/>
          </w:tcPr>
          <w:p w:rsidR="00EF7608" w:rsidRPr="003A4A57" w:rsidRDefault="00EF7608" w:rsidP="00382111">
            <w:pPr>
              <w:spacing w:after="120"/>
              <w:rPr>
                <w:rFonts w:asciiTheme="minorHAnsi" w:eastAsia="Times New Roman" w:hAnsiTheme="minorHAnsi" w:cstheme="minorHAnsi"/>
                <w:b/>
                <w:i/>
                <w:sz w:val="22"/>
                <w:szCs w:val="22"/>
                <w:lang w:eastAsia="it-IT"/>
              </w:rPr>
            </w:pPr>
            <w:r w:rsidRPr="003A4A57">
              <w:rPr>
                <w:rFonts w:asciiTheme="minorHAnsi" w:eastAsia="Times New Roman" w:hAnsiTheme="minorHAnsi" w:cstheme="minorHAnsi"/>
                <w:b/>
                <w:i/>
                <w:sz w:val="22"/>
                <w:szCs w:val="22"/>
                <w:lang w:eastAsia="it-IT"/>
              </w:rPr>
              <w:t>Centri storici</w:t>
            </w:r>
          </w:p>
        </w:tc>
        <w:tc>
          <w:tcPr>
            <w:tcW w:w="3999" w:type="pct"/>
            <w:shd w:val="clear" w:color="auto" w:fill="auto"/>
          </w:tcPr>
          <w:p w:rsidR="00EF7608" w:rsidRPr="003A4A57" w:rsidRDefault="00EF7608" w:rsidP="00DF1070">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Relativamente agli interventi da eseguire nei centri storici il decreto legge non stabilisce nulla.</w:t>
            </w:r>
          </w:p>
          <w:p w:rsidR="00EF7608" w:rsidRPr="003A4A57" w:rsidRDefault="00EF7608" w:rsidP="00945912">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Data l’importanza e l’urgenza di intervenire immediatamente per la ricostruzione in genere</w:t>
            </w:r>
            <w:r w:rsidR="00CB6368" w:rsidRPr="003A4A57">
              <w:rPr>
                <w:rFonts w:asciiTheme="minorHAnsi" w:eastAsia="Times New Roman" w:hAnsiTheme="minorHAnsi" w:cstheme="minorHAnsi"/>
                <w:lang w:eastAsia="it-IT"/>
              </w:rPr>
              <w:t>,</w:t>
            </w:r>
            <w:r w:rsidRPr="003A4A57">
              <w:rPr>
                <w:rFonts w:asciiTheme="minorHAnsi" w:eastAsia="Times New Roman" w:hAnsiTheme="minorHAnsi" w:cstheme="minorHAnsi"/>
                <w:lang w:eastAsia="it-IT"/>
              </w:rPr>
              <w:t xml:space="preserve"> compresi i centri storici e gli edifici di culto, è necessario prevedere che la relativa esecuzione </w:t>
            </w:r>
            <w:r w:rsidR="004542D2" w:rsidRPr="003A4A57">
              <w:rPr>
                <w:rFonts w:asciiTheme="minorHAnsi" w:eastAsia="Times New Roman" w:hAnsiTheme="minorHAnsi" w:cstheme="minorHAnsi"/>
                <w:lang w:eastAsia="it-IT"/>
              </w:rPr>
              <w:t xml:space="preserve">possa avvenire senza </w:t>
            </w:r>
            <w:r w:rsidR="00E57E75" w:rsidRPr="003A4A57">
              <w:rPr>
                <w:rFonts w:asciiTheme="minorHAnsi" w:eastAsia="Times New Roman" w:hAnsiTheme="minorHAnsi" w:cstheme="minorHAnsi"/>
                <w:lang w:eastAsia="it-IT"/>
              </w:rPr>
              <w:t xml:space="preserve">l'obbligo dei </w:t>
            </w:r>
            <w:r w:rsidR="004542D2" w:rsidRPr="003A4A57">
              <w:rPr>
                <w:rFonts w:asciiTheme="minorHAnsi" w:eastAsia="Times New Roman" w:hAnsiTheme="minorHAnsi" w:cstheme="minorHAnsi"/>
                <w:lang w:eastAsia="it-IT"/>
              </w:rPr>
              <w:t>piani di ricostruzione.</w:t>
            </w:r>
          </w:p>
          <w:p w:rsidR="00EF7608" w:rsidRPr="003A4A57" w:rsidRDefault="001855E2" w:rsidP="00945912">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Nei casi dove è</w:t>
            </w:r>
            <w:r w:rsidR="00EF7608" w:rsidRPr="003A4A57">
              <w:rPr>
                <w:rFonts w:asciiTheme="minorHAnsi" w:eastAsia="Times New Roman" w:hAnsiTheme="minorHAnsi" w:cstheme="minorHAnsi"/>
                <w:lang w:eastAsia="it-IT"/>
              </w:rPr>
              <w:t xml:space="preserve"> possibile operare mediante interventi di risanam</w:t>
            </w:r>
            <w:r w:rsidRPr="003A4A57">
              <w:rPr>
                <w:rFonts w:asciiTheme="minorHAnsi" w:eastAsia="Times New Roman" w:hAnsiTheme="minorHAnsi" w:cstheme="minorHAnsi"/>
                <w:lang w:eastAsia="it-IT"/>
              </w:rPr>
              <w:t>ento conservativo e funzionale</w:t>
            </w:r>
            <w:r w:rsidR="00EF7608" w:rsidRPr="003A4A57">
              <w:rPr>
                <w:rFonts w:asciiTheme="minorHAnsi" w:eastAsia="Times New Roman" w:hAnsiTheme="minorHAnsi" w:cstheme="minorHAnsi"/>
                <w:lang w:eastAsia="it-IT"/>
              </w:rPr>
              <w:t xml:space="preserve">, </w:t>
            </w:r>
            <w:r w:rsidRPr="003A4A57">
              <w:rPr>
                <w:rFonts w:asciiTheme="minorHAnsi" w:eastAsia="Times New Roman" w:hAnsiTheme="minorHAnsi" w:cstheme="minorHAnsi"/>
                <w:lang w:eastAsia="it-IT"/>
              </w:rPr>
              <w:t>si potrà</w:t>
            </w:r>
            <w:r w:rsidR="00EF7608" w:rsidRPr="003A4A57">
              <w:rPr>
                <w:rFonts w:asciiTheme="minorHAnsi" w:eastAsia="Times New Roman" w:hAnsiTheme="minorHAnsi" w:cstheme="minorHAnsi"/>
                <w:lang w:eastAsia="it-IT"/>
              </w:rPr>
              <w:t xml:space="preserve"> procedere singolarmente senza dover attendere i tempi non certo brevi di un piano di ricostruzione.</w:t>
            </w:r>
          </w:p>
          <w:p w:rsidR="00EF7608" w:rsidRPr="003A4A57" w:rsidRDefault="00EF7608" w:rsidP="00945912">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Il problema dei centri storici deve essere affrontato in chiave dinamica anche perché essi spesso sono integrati con il tessuto urbano dei comuni colpiti dal sisma.</w:t>
            </w:r>
          </w:p>
          <w:p w:rsidR="00EF7608" w:rsidRPr="003A4A57" w:rsidRDefault="00EF7608" w:rsidP="00945912">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b/>
                <w:lang w:eastAsia="it-IT"/>
              </w:rPr>
              <w:t xml:space="preserve">Debbono essere le Regioni ed i Comuni interessati ad assumere le eventuali decisioni circa </w:t>
            </w:r>
            <w:r w:rsidR="001855E2" w:rsidRPr="003A4A57">
              <w:rPr>
                <w:rFonts w:asciiTheme="minorHAnsi" w:eastAsia="Times New Roman" w:hAnsiTheme="minorHAnsi" w:cstheme="minorHAnsi"/>
                <w:b/>
                <w:lang w:eastAsia="it-IT"/>
              </w:rPr>
              <w:t xml:space="preserve">l'opportunità di </w:t>
            </w:r>
            <w:r w:rsidRPr="003A4A57">
              <w:rPr>
                <w:rFonts w:asciiTheme="minorHAnsi" w:eastAsia="Times New Roman" w:hAnsiTheme="minorHAnsi" w:cstheme="minorHAnsi"/>
                <w:b/>
                <w:lang w:eastAsia="it-IT"/>
              </w:rPr>
              <w:t xml:space="preserve">piani </w:t>
            </w:r>
            <w:r w:rsidR="00CB6368" w:rsidRPr="003A4A57">
              <w:rPr>
                <w:rFonts w:asciiTheme="minorHAnsi" w:eastAsia="Times New Roman" w:hAnsiTheme="minorHAnsi" w:cstheme="minorHAnsi"/>
                <w:b/>
                <w:lang w:eastAsia="it-IT"/>
              </w:rPr>
              <w:t>di ricostruzione</w:t>
            </w:r>
            <w:r w:rsidRPr="003A4A57">
              <w:rPr>
                <w:rFonts w:asciiTheme="minorHAnsi" w:eastAsia="Times New Roman" w:hAnsiTheme="minorHAnsi" w:cstheme="minorHAnsi"/>
                <w:lang w:eastAsia="it-IT"/>
              </w:rPr>
              <w:t>.</w:t>
            </w:r>
          </w:p>
          <w:p w:rsidR="004542D2" w:rsidRPr="003A4A57" w:rsidRDefault="004542D2" w:rsidP="00773129">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 xml:space="preserve">In questo contesto </w:t>
            </w:r>
            <w:r w:rsidR="00CB6368" w:rsidRPr="003A4A57">
              <w:rPr>
                <w:rFonts w:asciiTheme="minorHAnsi" w:eastAsia="Times New Roman" w:hAnsiTheme="minorHAnsi" w:cstheme="minorHAnsi"/>
                <w:lang w:eastAsia="it-IT"/>
              </w:rPr>
              <w:t>va</w:t>
            </w:r>
            <w:r w:rsidRPr="003A4A57">
              <w:rPr>
                <w:rFonts w:asciiTheme="minorHAnsi" w:eastAsia="Times New Roman" w:hAnsiTheme="minorHAnsi" w:cstheme="minorHAnsi"/>
                <w:lang w:eastAsia="it-IT"/>
              </w:rPr>
              <w:t xml:space="preserve"> promosso un </w:t>
            </w:r>
            <w:r w:rsidRPr="003A4A57">
              <w:rPr>
                <w:rFonts w:asciiTheme="minorHAnsi" w:eastAsia="Times New Roman" w:hAnsiTheme="minorHAnsi" w:cstheme="minorHAnsi"/>
                <w:b/>
                <w:lang w:eastAsia="it-IT"/>
              </w:rPr>
              <w:t>coordinamento istituzionale con le Sovrintendenze</w:t>
            </w:r>
            <w:r w:rsidRPr="003A4A57">
              <w:rPr>
                <w:rFonts w:asciiTheme="minorHAnsi" w:eastAsia="Times New Roman" w:hAnsiTheme="minorHAnsi" w:cstheme="minorHAnsi"/>
                <w:lang w:eastAsia="it-IT"/>
              </w:rPr>
              <w:t xml:space="preserve">, le quali dovrebbero redigere in termini brevi (es. 3 mesi) per gli immobili siti in zona A (D.M. 1444/68) un </w:t>
            </w:r>
            <w:r w:rsidRPr="003A4A57">
              <w:rPr>
                <w:rFonts w:asciiTheme="minorHAnsi" w:eastAsia="Times New Roman" w:hAnsiTheme="minorHAnsi" w:cstheme="minorHAnsi"/>
                <w:b/>
                <w:lang w:eastAsia="it-IT"/>
              </w:rPr>
              <w:t>abaco per gli interventi di recupero</w:t>
            </w:r>
            <w:r w:rsidRPr="003A4A57">
              <w:rPr>
                <w:rFonts w:asciiTheme="minorHAnsi" w:eastAsia="Times New Roman" w:hAnsiTheme="minorHAnsi" w:cstheme="minorHAnsi"/>
                <w:lang w:eastAsia="it-IT"/>
              </w:rPr>
              <w:t xml:space="preserve"> precisando tipologie di materiali, modalità di esecuzione, tipologie di danno per i quali la autocertificazione del progettista consenta di superare la necessità di ottenere le autorizzazioni del D.lgs. 42/04.</w:t>
            </w:r>
          </w:p>
          <w:p w:rsidR="00EF7608" w:rsidRPr="003A4A57" w:rsidRDefault="00EF7608" w:rsidP="00773129">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 xml:space="preserve">In via ordinaria la ricostruzione/messa in sicurezza dei centri storici deve </w:t>
            </w:r>
            <w:r w:rsidR="004542D2" w:rsidRPr="003A4A57">
              <w:rPr>
                <w:rFonts w:asciiTheme="minorHAnsi" w:eastAsia="Times New Roman" w:hAnsiTheme="minorHAnsi" w:cstheme="minorHAnsi"/>
                <w:lang w:eastAsia="it-IT"/>
              </w:rPr>
              <w:t xml:space="preserve">iniziare con </w:t>
            </w:r>
            <w:r w:rsidRPr="003A4A57">
              <w:rPr>
                <w:rFonts w:asciiTheme="minorHAnsi" w:eastAsia="Times New Roman" w:hAnsiTheme="minorHAnsi" w:cstheme="minorHAnsi"/>
                <w:b/>
                <w:lang w:eastAsia="it-IT"/>
              </w:rPr>
              <w:t>l’intervento immediato per tutti quegli immobili per i quali sia possibile operare in forma autonoma e senza compromissioni dell’ambiente circostante</w:t>
            </w:r>
            <w:r w:rsidRPr="003A4A57">
              <w:rPr>
                <w:rFonts w:asciiTheme="minorHAnsi" w:eastAsia="Times New Roman" w:hAnsiTheme="minorHAnsi" w:cstheme="minorHAnsi"/>
                <w:lang w:eastAsia="it-IT"/>
              </w:rPr>
              <w:t xml:space="preserve">. Nel caso di aggregati di più edifici il progetto dovrà essere </w:t>
            </w:r>
            <w:r w:rsidR="001855E2" w:rsidRPr="003A4A57">
              <w:rPr>
                <w:rFonts w:asciiTheme="minorHAnsi" w:eastAsia="Times New Roman" w:hAnsiTheme="minorHAnsi" w:cstheme="minorHAnsi"/>
                <w:lang w:eastAsia="it-IT"/>
              </w:rPr>
              <w:t>ammesso</w:t>
            </w:r>
            <w:r w:rsidRPr="003A4A57">
              <w:rPr>
                <w:rFonts w:asciiTheme="minorHAnsi" w:eastAsia="Times New Roman" w:hAnsiTheme="minorHAnsi" w:cstheme="minorHAnsi"/>
                <w:lang w:eastAsia="it-IT"/>
              </w:rPr>
              <w:t xml:space="preserve"> se in grado </w:t>
            </w:r>
            <w:r w:rsidR="001855E2" w:rsidRPr="003A4A57">
              <w:rPr>
                <w:rFonts w:asciiTheme="minorHAnsi" w:eastAsia="Times New Roman" w:hAnsiTheme="minorHAnsi" w:cstheme="minorHAnsi"/>
                <w:lang w:eastAsia="it-IT"/>
              </w:rPr>
              <w:t xml:space="preserve">di </w:t>
            </w:r>
            <w:r w:rsidRPr="003A4A57">
              <w:rPr>
                <w:rFonts w:asciiTheme="minorHAnsi" w:eastAsia="Times New Roman" w:hAnsiTheme="minorHAnsi" w:cstheme="minorHAnsi"/>
                <w:lang w:eastAsia="it-IT"/>
              </w:rPr>
              <w:t>garantire il recupero funzionale del nucleo.</w:t>
            </w:r>
          </w:p>
          <w:p w:rsidR="00EF7608" w:rsidRPr="003A4A57" w:rsidRDefault="001855E2" w:rsidP="00773129">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 xml:space="preserve">Per agevolare ciò si potrebbe </w:t>
            </w:r>
            <w:r w:rsidR="00EF7608" w:rsidRPr="003A4A57">
              <w:rPr>
                <w:rFonts w:asciiTheme="minorHAnsi" w:eastAsia="Times New Roman" w:hAnsiTheme="minorHAnsi" w:cstheme="minorHAnsi"/>
                <w:lang w:eastAsia="it-IT"/>
              </w:rPr>
              <w:t>istituire una commissione permanente per la verifica di ammissibilità degli interventi tramite un Protocollo d’Intesa tra Comune e Sovrintendenza.</w:t>
            </w:r>
          </w:p>
          <w:p w:rsidR="008279F9" w:rsidRPr="003A4A57" w:rsidRDefault="00EF7608" w:rsidP="001C75B6">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Per tutte queste tipologie di intervento</w:t>
            </w:r>
            <w:r w:rsidR="001855E2" w:rsidRPr="003A4A57">
              <w:rPr>
                <w:rFonts w:asciiTheme="minorHAnsi" w:eastAsia="Times New Roman" w:hAnsiTheme="minorHAnsi" w:cstheme="minorHAnsi"/>
                <w:lang w:eastAsia="it-IT"/>
              </w:rPr>
              <w:t>,</w:t>
            </w:r>
            <w:r w:rsidRPr="003A4A57">
              <w:rPr>
                <w:rFonts w:asciiTheme="minorHAnsi" w:eastAsia="Times New Roman" w:hAnsiTheme="minorHAnsi" w:cstheme="minorHAnsi"/>
                <w:lang w:eastAsia="it-IT"/>
              </w:rPr>
              <w:t xml:space="preserve"> qualora vi siano modifiche all’aspetto architettonico di edifici sottoposti a vincoli ovvero ad immobili siti in aree sottoposte a vincolo</w:t>
            </w:r>
            <w:r w:rsidR="001855E2" w:rsidRPr="003A4A57">
              <w:rPr>
                <w:rFonts w:asciiTheme="minorHAnsi" w:eastAsia="Times New Roman" w:hAnsiTheme="minorHAnsi" w:cstheme="minorHAnsi"/>
                <w:lang w:eastAsia="it-IT"/>
              </w:rPr>
              <w:t>,</w:t>
            </w:r>
            <w:r w:rsidRPr="003A4A57">
              <w:rPr>
                <w:rFonts w:asciiTheme="minorHAnsi" w:eastAsia="Times New Roman" w:hAnsiTheme="minorHAnsi" w:cstheme="minorHAnsi"/>
                <w:lang w:eastAsia="it-IT"/>
              </w:rPr>
              <w:t xml:space="preserve"> è necessario che le relative autorizzazioni siano concesse in termini ridotti di almeno</w:t>
            </w:r>
            <w:r w:rsidR="001855E2" w:rsidRPr="003A4A57">
              <w:rPr>
                <w:rFonts w:asciiTheme="minorHAnsi" w:eastAsia="Times New Roman" w:hAnsiTheme="minorHAnsi" w:cstheme="minorHAnsi"/>
                <w:lang w:eastAsia="it-IT"/>
              </w:rPr>
              <w:t xml:space="preserve"> 2/3 rispetto a quelli ordinari (norma di legge o intesa di programma).</w:t>
            </w:r>
          </w:p>
        </w:tc>
      </w:tr>
      <w:tr w:rsidR="00EF7608" w:rsidRPr="003A4A57" w:rsidTr="009B457F">
        <w:tc>
          <w:tcPr>
            <w:tcW w:w="1001" w:type="pct"/>
            <w:shd w:val="clear" w:color="auto" w:fill="F2F2F2" w:themeFill="background1" w:themeFillShade="F2"/>
          </w:tcPr>
          <w:p w:rsidR="00EF7608" w:rsidRPr="003A4A57" w:rsidRDefault="00EF7608" w:rsidP="00382111">
            <w:pPr>
              <w:spacing w:after="120"/>
              <w:rPr>
                <w:rFonts w:asciiTheme="minorHAnsi" w:eastAsia="Times New Roman" w:hAnsiTheme="minorHAnsi" w:cstheme="minorHAnsi"/>
                <w:b/>
                <w:i/>
                <w:sz w:val="22"/>
                <w:szCs w:val="22"/>
                <w:lang w:eastAsia="it-IT"/>
              </w:rPr>
            </w:pPr>
            <w:r w:rsidRPr="003A4A57">
              <w:rPr>
                <w:rFonts w:asciiTheme="minorHAnsi" w:eastAsia="Times New Roman" w:hAnsiTheme="minorHAnsi" w:cstheme="minorHAnsi"/>
                <w:b/>
                <w:i/>
                <w:sz w:val="22"/>
                <w:szCs w:val="22"/>
                <w:lang w:eastAsia="it-IT"/>
              </w:rPr>
              <w:t>Incentivi</w:t>
            </w:r>
          </w:p>
        </w:tc>
        <w:tc>
          <w:tcPr>
            <w:tcW w:w="3999" w:type="pct"/>
            <w:shd w:val="clear" w:color="auto" w:fill="auto"/>
          </w:tcPr>
          <w:p w:rsidR="008279F9" w:rsidRPr="003A4A57" w:rsidRDefault="00EF7608" w:rsidP="001C75B6">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 xml:space="preserve">Al fine di favorire la ricostruzione attraverso interventi di demolizione, va riconosciuta la possibilità, a parità di volumetria (eventualmente </w:t>
            </w:r>
            <w:r w:rsidR="004542D2" w:rsidRPr="003A4A57">
              <w:rPr>
                <w:rFonts w:asciiTheme="minorHAnsi" w:eastAsia="Times New Roman" w:hAnsiTheme="minorHAnsi" w:cstheme="minorHAnsi"/>
                <w:lang w:eastAsia="it-IT"/>
              </w:rPr>
              <w:t>lasciando ai Comuni la possibilità di riconoscere</w:t>
            </w:r>
            <w:r w:rsidRPr="003A4A57">
              <w:rPr>
                <w:rFonts w:asciiTheme="minorHAnsi" w:eastAsia="Times New Roman" w:hAnsiTheme="minorHAnsi" w:cstheme="minorHAnsi"/>
                <w:lang w:eastAsia="it-IT"/>
              </w:rPr>
              <w:t xml:space="preserve"> un incremento premiale del 10-15%</w:t>
            </w:r>
            <w:r w:rsidR="004542D2" w:rsidRPr="003A4A57">
              <w:rPr>
                <w:rFonts w:asciiTheme="minorHAnsi" w:eastAsia="Times New Roman" w:hAnsiTheme="minorHAnsi" w:cstheme="minorHAnsi"/>
                <w:lang w:eastAsia="it-IT"/>
              </w:rPr>
              <w:t xml:space="preserve"> nel caso di significativi miglioramenti rispetto ai requisiti minimi di legge)</w:t>
            </w:r>
            <w:r w:rsidRPr="003A4A57">
              <w:rPr>
                <w:rFonts w:asciiTheme="minorHAnsi" w:eastAsia="Times New Roman" w:hAnsiTheme="minorHAnsi" w:cstheme="minorHAnsi"/>
                <w:lang w:eastAsia="it-IT"/>
              </w:rPr>
              <w:t xml:space="preserve"> di mutare sagoma, prospetti, numero degli alloggi e destinazioni d’uso (per quest’ultimo aspetto con il consenso del comune).</w:t>
            </w:r>
          </w:p>
        </w:tc>
      </w:tr>
      <w:tr w:rsidR="00EF7608" w:rsidRPr="003A4A57" w:rsidTr="009B457F">
        <w:tc>
          <w:tcPr>
            <w:tcW w:w="1001" w:type="pct"/>
            <w:shd w:val="clear" w:color="auto" w:fill="F2F2F2" w:themeFill="background1" w:themeFillShade="F2"/>
          </w:tcPr>
          <w:p w:rsidR="00EF7608" w:rsidRPr="003A4A57" w:rsidRDefault="00EF7608" w:rsidP="00382111">
            <w:pPr>
              <w:spacing w:after="120"/>
              <w:rPr>
                <w:rFonts w:asciiTheme="minorHAnsi" w:eastAsia="Times New Roman" w:hAnsiTheme="minorHAnsi" w:cstheme="minorHAnsi"/>
                <w:b/>
                <w:i/>
                <w:sz w:val="22"/>
                <w:szCs w:val="22"/>
                <w:lang w:eastAsia="it-IT"/>
              </w:rPr>
            </w:pPr>
            <w:r w:rsidRPr="003A4A57">
              <w:rPr>
                <w:rFonts w:asciiTheme="minorHAnsi" w:eastAsia="Times New Roman" w:hAnsiTheme="minorHAnsi" w:cstheme="minorHAnsi"/>
                <w:b/>
                <w:i/>
                <w:sz w:val="22"/>
                <w:szCs w:val="22"/>
                <w:lang w:eastAsia="it-IT"/>
              </w:rPr>
              <w:t>Fondo immobiliare per alloggi temporanei</w:t>
            </w:r>
          </w:p>
        </w:tc>
        <w:tc>
          <w:tcPr>
            <w:tcW w:w="3999" w:type="pct"/>
            <w:shd w:val="clear" w:color="auto" w:fill="auto"/>
          </w:tcPr>
          <w:p w:rsidR="00EF7608" w:rsidRPr="003A4A57" w:rsidRDefault="00EF7608" w:rsidP="00DF1070">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 xml:space="preserve">Tra le misure da adottare al fine di garantire l’assistenza alle famiglie e alle attività artigianali in fabbricati inagibili, si potrebbe ipotizzare la previsione di un </w:t>
            </w:r>
            <w:r w:rsidRPr="003A4A57">
              <w:rPr>
                <w:rFonts w:asciiTheme="minorHAnsi" w:eastAsia="Times New Roman" w:hAnsiTheme="minorHAnsi" w:cstheme="minorHAnsi"/>
                <w:b/>
                <w:lang w:eastAsia="it-IT"/>
              </w:rPr>
              <w:t xml:space="preserve">fondo immobiliare per l’acquisto di </w:t>
            </w:r>
            <w:r w:rsidR="00E57E75" w:rsidRPr="003A4A57">
              <w:rPr>
                <w:rFonts w:asciiTheme="minorHAnsi" w:eastAsia="Times New Roman" w:hAnsiTheme="minorHAnsi" w:cstheme="minorHAnsi"/>
                <w:b/>
                <w:lang w:eastAsia="it-IT"/>
              </w:rPr>
              <w:t>immobili</w:t>
            </w:r>
            <w:r w:rsidR="00E57E75" w:rsidRPr="003A4A57">
              <w:rPr>
                <w:rFonts w:asciiTheme="minorHAnsi" w:eastAsia="Times New Roman" w:hAnsiTheme="minorHAnsi" w:cstheme="minorHAnsi"/>
                <w:lang w:eastAsia="it-IT"/>
              </w:rPr>
              <w:t>, già ultimati</w:t>
            </w:r>
            <w:r w:rsidRPr="003A4A57">
              <w:rPr>
                <w:rFonts w:asciiTheme="minorHAnsi" w:eastAsia="Times New Roman" w:hAnsiTheme="minorHAnsi" w:cstheme="minorHAnsi"/>
                <w:lang w:eastAsia="it-IT"/>
              </w:rPr>
              <w:t xml:space="preserve"> o in fase di ultimazione, da assegnare in locazione temporanea seguendo un’esperienza già prevista in Abruzzo.</w:t>
            </w:r>
          </w:p>
          <w:p w:rsidR="00EF7608" w:rsidRPr="003A4A57" w:rsidRDefault="00EF7608" w:rsidP="00945912">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Le risorse per tal</w:t>
            </w:r>
            <w:r w:rsidR="0099182E" w:rsidRPr="003A4A57">
              <w:rPr>
                <w:rFonts w:asciiTheme="minorHAnsi" w:eastAsia="Times New Roman" w:hAnsiTheme="minorHAnsi" w:cstheme="minorHAnsi"/>
                <w:lang w:eastAsia="it-IT"/>
              </w:rPr>
              <w:t>i</w:t>
            </w:r>
            <w:r w:rsidRPr="003A4A57">
              <w:rPr>
                <w:rFonts w:asciiTheme="minorHAnsi" w:eastAsia="Times New Roman" w:hAnsiTheme="minorHAnsi" w:cstheme="minorHAnsi"/>
                <w:lang w:eastAsia="it-IT"/>
              </w:rPr>
              <w:t xml:space="preserve"> iniziative potrebbero derivare dal sistema dei fondi del piano casa previsto dal decreto legge 112/08 e gestito dalla CDP. In questo caso si potrebbe prevedere l’intervento diretto della CDP senza ricorso a soggetti locali e senza il limite di partecipazione del 60% a carico del fondo locale. In questo caso l’intervento dovrebbe essere totale eventualmente in cointeressenza con gli ex IACP e gli altri enti locali.</w:t>
            </w:r>
          </w:p>
          <w:p w:rsidR="00EF7608" w:rsidRPr="003A4A57" w:rsidRDefault="00EF7608" w:rsidP="00945912">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 xml:space="preserve">Alla scadenza del periodo di locazione previsto il Fondo </w:t>
            </w:r>
            <w:r w:rsidR="001855E2" w:rsidRPr="003A4A57">
              <w:rPr>
                <w:rFonts w:asciiTheme="minorHAnsi" w:eastAsia="Times New Roman" w:hAnsiTheme="minorHAnsi" w:cstheme="minorHAnsi"/>
                <w:lang w:eastAsia="it-IT"/>
              </w:rPr>
              <w:t>potrà procedere</w:t>
            </w:r>
            <w:r w:rsidRPr="003A4A57">
              <w:rPr>
                <w:rFonts w:asciiTheme="minorHAnsi" w:eastAsia="Times New Roman" w:hAnsiTheme="minorHAnsi" w:cstheme="minorHAnsi"/>
                <w:lang w:eastAsia="it-IT"/>
              </w:rPr>
              <w:t xml:space="preserve"> </w:t>
            </w:r>
            <w:r w:rsidR="004542D2" w:rsidRPr="003A4A57">
              <w:rPr>
                <w:rFonts w:asciiTheme="minorHAnsi" w:eastAsia="Times New Roman" w:hAnsiTheme="minorHAnsi" w:cstheme="minorHAnsi"/>
                <w:lang w:eastAsia="it-IT"/>
              </w:rPr>
              <w:t xml:space="preserve">(non obbligatoriamente) </w:t>
            </w:r>
            <w:r w:rsidRPr="003A4A57">
              <w:rPr>
                <w:rFonts w:asciiTheme="minorHAnsi" w:eastAsia="Times New Roman" w:hAnsiTheme="minorHAnsi" w:cstheme="minorHAnsi"/>
                <w:lang w:eastAsia="it-IT"/>
              </w:rPr>
              <w:t xml:space="preserve">alla vendita delle unità immobiliari, preferibilmente agli assegnatari degli </w:t>
            </w:r>
            <w:r w:rsidR="004542D2" w:rsidRPr="003A4A57">
              <w:rPr>
                <w:rFonts w:asciiTheme="minorHAnsi" w:eastAsia="Times New Roman" w:hAnsiTheme="minorHAnsi" w:cstheme="minorHAnsi"/>
                <w:lang w:eastAsia="it-IT"/>
              </w:rPr>
              <w:t>alloggi in locazione temporanea</w:t>
            </w:r>
            <w:r w:rsidRPr="003A4A57">
              <w:rPr>
                <w:rFonts w:asciiTheme="minorHAnsi" w:eastAsia="Times New Roman" w:hAnsiTheme="minorHAnsi" w:cstheme="minorHAnsi"/>
                <w:lang w:eastAsia="it-IT"/>
              </w:rPr>
              <w:t>.</w:t>
            </w:r>
          </w:p>
          <w:p w:rsidR="008279F9" w:rsidRPr="003A4A57" w:rsidRDefault="00EF7608" w:rsidP="00CB6368">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 xml:space="preserve">Il Fondo </w:t>
            </w:r>
            <w:r w:rsidR="001855E2" w:rsidRPr="003A4A57">
              <w:rPr>
                <w:rFonts w:asciiTheme="minorHAnsi" w:eastAsia="Times New Roman" w:hAnsiTheme="minorHAnsi" w:cstheme="minorHAnsi"/>
                <w:lang w:eastAsia="it-IT"/>
              </w:rPr>
              <w:t>rappresenterebbe</w:t>
            </w:r>
            <w:r w:rsidRPr="003A4A57">
              <w:rPr>
                <w:rFonts w:asciiTheme="minorHAnsi" w:eastAsia="Times New Roman" w:hAnsiTheme="minorHAnsi" w:cstheme="minorHAnsi"/>
                <w:lang w:eastAsia="it-IT"/>
              </w:rPr>
              <w:t xml:space="preserve"> una risposta concreta alle stringenti necessità </w:t>
            </w:r>
            <w:r w:rsidR="00CB6368" w:rsidRPr="003A4A57">
              <w:rPr>
                <w:rFonts w:asciiTheme="minorHAnsi" w:eastAsia="Times New Roman" w:hAnsiTheme="minorHAnsi" w:cstheme="minorHAnsi"/>
                <w:lang w:eastAsia="it-IT"/>
              </w:rPr>
              <w:t>delle aree interessate</w:t>
            </w:r>
            <w:r w:rsidRPr="003A4A57">
              <w:rPr>
                <w:rFonts w:asciiTheme="minorHAnsi" w:eastAsia="Times New Roman" w:hAnsiTheme="minorHAnsi" w:cstheme="minorHAnsi"/>
                <w:lang w:eastAsia="it-IT"/>
              </w:rPr>
              <w:t xml:space="preserve"> in tempi rapidi e con modalità realizzative del tutto nuove.</w:t>
            </w:r>
          </w:p>
        </w:tc>
      </w:tr>
      <w:tr w:rsidR="00EF7608" w:rsidRPr="003A4A57" w:rsidTr="009B457F">
        <w:tc>
          <w:tcPr>
            <w:tcW w:w="1001" w:type="pct"/>
            <w:shd w:val="clear" w:color="auto" w:fill="F2F2F2" w:themeFill="background1" w:themeFillShade="F2"/>
          </w:tcPr>
          <w:p w:rsidR="00EF7608" w:rsidRPr="003A4A57" w:rsidRDefault="00EF7608" w:rsidP="00382111">
            <w:pPr>
              <w:spacing w:after="120"/>
              <w:rPr>
                <w:rFonts w:asciiTheme="minorHAnsi" w:eastAsia="Times New Roman" w:hAnsiTheme="minorHAnsi" w:cstheme="minorHAnsi"/>
                <w:b/>
                <w:i/>
                <w:sz w:val="22"/>
                <w:szCs w:val="22"/>
                <w:lang w:eastAsia="it-IT"/>
              </w:rPr>
            </w:pPr>
            <w:r w:rsidRPr="003A4A57">
              <w:rPr>
                <w:rFonts w:asciiTheme="minorHAnsi" w:eastAsia="Times New Roman" w:hAnsiTheme="minorHAnsi" w:cstheme="minorHAnsi"/>
                <w:b/>
                <w:i/>
                <w:sz w:val="22"/>
                <w:szCs w:val="22"/>
                <w:lang w:eastAsia="it-IT"/>
              </w:rPr>
              <w:t>Proroga termini titoli abilitativi</w:t>
            </w:r>
          </w:p>
        </w:tc>
        <w:tc>
          <w:tcPr>
            <w:tcW w:w="3999" w:type="pct"/>
            <w:shd w:val="clear" w:color="auto" w:fill="auto"/>
          </w:tcPr>
          <w:p w:rsidR="008279F9" w:rsidRPr="003A4A57" w:rsidRDefault="00EF7608" w:rsidP="00E57E75">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 xml:space="preserve">In considerazione, infine, delle difficoltà operative in cui si trovano alcune imprese edili per le sospensioni obbligatorie dei lavori nei cantieri, si ritiene necessaria la previsione di una norma finalizzata a </w:t>
            </w:r>
            <w:r w:rsidRPr="003A4A57">
              <w:rPr>
                <w:rFonts w:asciiTheme="minorHAnsi" w:eastAsia="Times New Roman" w:hAnsiTheme="minorHAnsi" w:cstheme="minorHAnsi"/>
                <w:b/>
                <w:lang w:eastAsia="it-IT"/>
              </w:rPr>
              <w:t>prorogare i termini di validità dei titoli abilitativi</w:t>
            </w:r>
            <w:r w:rsidRPr="003A4A57">
              <w:rPr>
                <w:rFonts w:asciiTheme="minorHAnsi" w:eastAsia="Times New Roman" w:hAnsiTheme="minorHAnsi" w:cstheme="minorHAnsi"/>
                <w:lang w:eastAsia="it-IT"/>
              </w:rPr>
              <w:t xml:space="preserve"> </w:t>
            </w:r>
            <w:r w:rsidR="004542D2" w:rsidRPr="003A4A57">
              <w:rPr>
                <w:rFonts w:asciiTheme="minorHAnsi" w:eastAsia="Times New Roman" w:hAnsiTheme="minorHAnsi" w:cstheme="minorHAnsi"/>
                <w:lang w:eastAsia="it-IT"/>
              </w:rPr>
              <w:t xml:space="preserve">(24 mesi) </w:t>
            </w:r>
            <w:r w:rsidRPr="003A4A57">
              <w:rPr>
                <w:rFonts w:asciiTheme="minorHAnsi" w:eastAsia="Times New Roman" w:hAnsiTheme="minorHAnsi" w:cstheme="minorHAnsi"/>
                <w:lang w:eastAsia="it-IT"/>
              </w:rPr>
              <w:t xml:space="preserve">e delle eventuali </w:t>
            </w:r>
            <w:r w:rsidRPr="003A4A57">
              <w:rPr>
                <w:rFonts w:asciiTheme="minorHAnsi" w:eastAsia="Times New Roman" w:hAnsiTheme="minorHAnsi" w:cstheme="minorHAnsi"/>
                <w:b/>
                <w:lang w:eastAsia="it-IT"/>
              </w:rPr>
              <w:t>convenzioni urbanistiche</w:t>
            </w:r>
            <w:r w:rsidRPr="003A4A57">
              <w:rPr>
                <w:rFonts w:asciiTheme="minorHAnsi" w:eastAsia="Times New Roman" w:hAnsiTheme="minorHAnsi" w:cstheme="minorHAnsi"/>
                <w:lang w:eastAsia="it-IT"/>
              </w:rPr>
              <w:t xml:space="preserve"> </w:t>
            </w:r>
            <w:r w:rsidR="00E57E75" w:rsidRPr="003A4A57">
              <w:rPr>
                <w:rFonts w:asciiTheme="minorHAnsi" w:eastAsia="Times New Roman" w:hAnsiTheme="minorHAnsi" w:cstheme="minorHAnsi"/>
                <w:lang w:eastAsia="it-IT"/>
              </w:rPr>
              <w:t>(</w:t>
            </w:r>
            <w:r w:rsidRPr="003A4A57">
              <w:rPr>
                <w:rFonts w:asciiTheme="minorHAnsi" w:eastAsia="Times New Roman" w:hAnsiTheme="minorHAnsi" w:cstheme="minorHAnsi"/>
                <w:lang w:eastAsia="it-IT"/>
              </w:rPr>
              <w:t>48 mesi</w:t>
            </w:r>
            <w:r w:rsidR="00E57E75" w:rsidRPr="003A4A57">
              <w:rPr>
                <w:rFonts w:asciiTheme="minorHAnsi" w:eastAsia="Times New Roman" w:hAnsiTheme="minorHAnsi" w:cstheme="minorHAnsi"/>
                <w:lang w:eastAsia="it-IT"/>
              </w:rPr>
              <w:t>)</w:t>
            </w:r>
            <w:r w:rsidRPr="003A4A57">
              <w:rPr>
                <w:rFonts w:asciiTheme="minorHAnsi" w:eastAsia="Times New Roman" w:hAnsiTheme="minorHAnsi" w:cstheme="minorHAnsi"/>
                <w:lang w:eastAsia="it-IT"/>
              </w:rPr>
              <w:t>.</w:t>
            </w:r>
          </w:p>
        </w:tc>
      </w:tr>
      <w:tr w:rsidR="00EF7608" w:rsidRPr="003A4A57" w:rsidTr="009B457F">
        <w:tc>
          <w:tcPr>
            <w:tcW w:w="1001" w:type="pct"/>
            <w:shd w:val="clear" w:color="auto" w:fill="F2F2F2" w:themeFill="background1" w:themeFillShade="F2"/>
          </w:tcPr>
          <w:p w:rsidR="00EF7608" w:rsidRPr="003A4A57" w:rsidRDefault="00EF7608" w:rsidP="00382111">
            <w:pPr>
              <w:spacing w:after="120"/>
              <w:rPr>
                <w:rFonts w:asciiTheme="minorHAnsi" w:eastAsia="Times New Roman" w:hAnsiTheme="minorHAnsi" w:cstheme="minorHAnsi"/>
                <w:b/>
                <w:i/>
                <w:sz w:val="22"/>
                <w:szCs w:val="22"/>
                <w:lang w:eastAsia="it-IT"/>
              </w:rPr>
            </w:pPr>
            <w:r w:rsidRPr="003A4A57">
              <w:rPr>
                <w:rFonts w:asciiTheme="minorHAnsi" w:eastAsia="Times New Roman" w:hAnsiTheme="minorHAnsi" w:cstheme="minorHAnsi"/>
                <w:b/>
                <w:i/>
                <w:sz w:val="22"/>
                <w:szCs w:val="22"/>
                <w:lang w:eastAsia="it-IT"/>
              </w:rPr>
              <w:t>Gestione ambientale</w:t>
            </w:r>
          </w:p>
        </w:tc>
        <w:tc>
          <w:tcPr>
            <w:tcW w:w="3999" w:type="pct"/>
            <w:shd w:val="clear" w:color="auto" w:fill="auto"/>
          </w:tcPr>
          <w:p w:rsidR="00EF7608" w:rsidRPr="003A4A57" w:rsidRDefault="00EF7608" w:rsidP="00DF1070">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Per la gestione ambientale il decreto ripropone le modalità abruzzesi con alcune importanti e positive novità derivanti dalla diversa situazione caratterizzata da una più ampia dimensione territoriale e dalla presenza di un discreto numero di soggetti in grado di trattare rifiuti di varie tipologie.</w:t>
            </w:r>
          </w:p>
          <w:p w:rsidR="00EF7608" w:rsidRPr="003A4A57" w:rsidRDefault="00EF7608" w:rsidP="00945912">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 xml:space="preserve">Per altro il decreto individua già in questa prima fase i soggetti ai quali affidare i compiti di </w:t>
            </w:r>
            <w:r w:rsidRPr="003A4A57">
              <w:rPr>
                <w:rFonts w:asciiTheme="minorHAnsi" w:eastAsia="Times New Roman" w:hAnsiTheme="minorHAnsi" w:cstheme="minorHAnsi"/>
                <w:b/>
                <w:lang w:eastAsia="it-IT"/>
              </w:rPr>
              <w:t>smaltimento delle macerie</w:t>
            </w:r>
            <w:r w:rsidRPr="003A4A57">
              <w:rPr>
                <w:rFonts w:asciiTheme="minorHAnsi" w:eastAsia="Times New Roman" w:hAnsiTheme="minorHAnsi" w:cstheme="minorHAnsi"/>
                <w:lang w:eastAsia="it-IT"/>
              </w:rPr>
              <w:t xml:space="preserve"> derivanti dai diversi siti.</w:t>
            </w:r>
          </w:p>
          <w:p w:rsidR="004542D2" w:rsidRPr="003A4A57" w:rsidRDefault="004542D2" w:rsidP="00945912">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 xml:space="preserve">Questa individuazione deve essere però </w:t>
            </w:r>
            <w:r w:rsidRPr="003A4A57">
              <w:rPr>
                <w:rFonts w:asciiTheme="minorHAnsi" w:eastAsia="Times New Roman" w:hAnsiTheme="minorHAnsi" w:cstheme="minorHAnsi"/>
                <w:b/>
                <w:lang w:eastAsia="it-IT"/>
              </w:rPr>
              <w:t>completata anche con l'individuazione di impianti nelle altre regioni interessate (Lombardia e Veneto)</w:t>
            </w:r>
            <w:r w:rsidRPr="003A4A57">
              <w:rPr>
                <w:rFonts w:asciiTheme="minorHAnsi" w:eastAsia="Times New Roman" w:hAnsiTheme="minorHAnsi" w:cstheme="minorHAnsi"/>
                <w:lang w:eastAsia="it-IT"/>
              </w:rPr>
              <w:t xml:space="preserve"> anche in base al principio dell'economicità del trasporto che deve privilegiare il percorso più breve</w:t>
            </w:r>
            <w:r w:rsidR="007A3A6D" w:rsidRPr="003A4A57">
              <w:rPr>
                <w:rFonts w:asciiTheme="minorHAnsi" w:eastAsia="Times New Roman" w:hAnsiTheme="minorHAnsi" w:cstheme="minorHAnsi"/>
                <w:lang w:eastAsia="it-IT"/>
              </w:rPr>
              <w:t>.</w:t>
            </w:r>
          </w:p>
          <w:p w:rsidR="00EF7608" w:rsidRPr="003A4A57" w:rsidRDefault="00E57E75" w:rsidP="00945912">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La</w:t>
            </w:r>
            <w:r w:rsidR="00EF7608" w:rsidRPr="003A4A57">
              <w:rPr>
                <w:rFonts w:asciiTheme="minorHAnsi" w:eastAsia="Times New Roman" w:hAnsiTheme="minorHAnsi" w:cstheme="minorHAnsi"/>
                <w:lang w:eastAsia="it-IT"/>
              </w:rPr>
              <w:t xml:space="preserve"> presenza sul territorio interessato dall’odierno sisma di numerosi impianti in grado di trattare i rifiuti derivanti da crolli, demolizioni e ricostruzioni deve imporre un’accelerazione delle procedure per il trattamento ed il recupero di tali materiali. </w:t>
            </w:r>
          </w:p>
          <w:p w:rsidR="00EF7608" w:rsidRPr="003A4A57" w:rsidRDefault="00EF7608" w:rsidP="00945912">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 xml:space="preserve">Accelerazione che deve aversi già nella conversione del decreto legge n. 74/2012  attraverso l’introduzione di alcune disposizioni previste dalle più recenti ordinanze emanate per il sisma abruzzese anche integrate con riferimento alla specifica situazione </w:t>
            </w:r>
            <w:proofErr w:type="spellStart"/>
            <w:r w:rsidRPr="003A4A57">
              <w:rPr>
                <w:rFonts w:asciiTheme="minorHAnsi" w:eastAsia="Times New Roman" w:hAnsiTheme="minorHAnsi" w:cstheme="minorHAnsi"/>
                <w:lang w:eastAsia="it-IT"/>
              </w:rPr>
              <w:t>interpadana</w:t>
            </w:r>
            <w:proofErr w:type="spellEnd"/>
            <w:r w:rsidRPr="003A4A57">
              <w:rPr>
                <w:rFonts w:asciiTheme="minorHAnsi" w:eastAsia="Times New Roman" w:hAnsiTheme="minorHAnsi" w:cstheme="minorHAnsi"/>
                <w:lang w:eastAsia="it-IT"/>
              </w:rPr>
              <w:t>.</w:t>
            </w:r>
          </w:p>
          <w:p w:rsidR="00EF7608" w:rsidRPr="003A4A57" w:rsidRDefault="00EF7608" w:rsidP="00945912">
            <w:pPr>
              <w:spacing w:after="120"/>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 xml:space="preserve">Si tratta in particolare dei seguenti punti: </w:t>
            </w:r>
          </w:p>
          <w:p w:rsidR="00EF7608" w:rsidRPr="003A4A57" w:rsidRDefault="00C350C6" w:rsidP="00565C3E">
            <w:pPr>
              <w:pStyle w:val="Paragrafoelenco"/>
              <w:numPr>
                <w:ilvl w:val="0"/>
                <w:numId w:val="17"/>
              </w:num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o</w:t>
            </w:r>
            <w:r w:rsidR="00EF7608" w:rsidRPr="003A4A57">
              <w:rPr>
                <w:rFonts w:asciiTheme="minorHAnsi" w:eastAsia="Times New Roman" w:hAnsiTheme="minorHAnsi" w:cstheme="minorHAnsi"/>
                <w:lang w:eastAsia="it-IT"/>
              </w:rPr>
              <w:t>bbligo per le pubbliche amministrazioni, attraverso i progettisti, di utilizzare i materiali provenienti dai trattamenti delle macerie nell’ambito dell’esecuzione di opere pubbliche di qualsiasi tipologia;</w:t>
            </w:r>
          </w:p>
          <w:p w:rsidR="00EF7608" w:rsidRPr="003A4A57" w:rsidRDefault="00C350C6" w:rsidP="00565C3E">
            <w:pPr>
              <w:pStyle w:val="Paragrafoelenco"/>
              <w:numPr>
                <w:ilvl w:val="0"/>
                <w:numId w:val="17"/>
              </w:num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p</w:t>
            </w:r>
            <w:r w:rsidR="00EF7608" w:rsidRPr="003A4A57">
              <w:rPr>
                <w:rFonts w:asciiTheme="minorHAnsi" w:eastAsia="Times New Roman" w:hAnsiTheme="minorHAnsi" w:cstheme="minorHAnsi"/>
                <w:lang w:eastAsia="it-IT"/>
              </w:rPr>
              <w:t>revisione che l’utilizzo delle macerie dopo il trattamento sia possibile, senza ulteriori formalità (vedi OPCM 4014/2012) qualora esse siano in grado di rispondere ai requisiti della Circolare del Ministe</w:t>
            </w:r>
            <w:r w:rsidRPr="003A4A57">
              <w:rPr>
                <w:rFonts w:asciiTheme="minorHAnsi" w:eastAsia="Times New Roman" w:hAnsiTheme="minorHAnsi" w:cstheme="minorHAnsi"/>
                <w:lang w:eastAsia="it-IT"/>
              </w:rPr>
              <w:t>ro dell’ambiente n.5205/2005;</w:t>
            </w:r>
          </w:p>
          <w:p w:rsidR="00EF7608" w:rsidRPr="003A4A57" w:rsidRDefault="00C350C6" w:rsidP="00565C3E">
            <w:pPr>
              <w:pStyle w:val="Paragrafoelenco"/>
              <w:numPr>
                <w:ilvl w:val="0"/>
                <w:numId w:val="17"/>
              </w:num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i</w:t>
            </w:r>
            <w:r w:rsidR="00EF7608" w:rsidRPr="003A4A57">
              <w:rPr>
                <w:rFonts w:asciiTheme="minorHAnsi" w:eastAsia="Times New Roman" w:hAnsiTheme="minorHAnsi" w:cstheme="minorHAnsi"/>
                <w:lang w:eastAsia="it-IT"/>
              </w:rPr>
              <w:t>stituzione di un sistema informativo interregionale attraverso cui gli enti locali e i soggetti privati interessati possano conoscere i quantitativi, le caratteristiche (marcatura CE) e la localizzazione dei materiali derivanti da processi di recupero;</w:t>
            </w:r>
          </w:p>
          <w:p w:rsidR="00EF7608" w:rsidRPr="003A4A57" w:rsidRDefault="00C350C6" w:rsidP="00565C3E">
            <w:pPr>
              <w:pStyle w:val="Paragrafoelenco"/>
              <w:numPr>
                <w:ilvl w:val="0"/>
                <w:numId w:val="17"/>
              </w:num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o</w:t>
            </w:r>
            <w:r w:rsidR="00EF7608" w:rsidRPr="003A4A57">
              <w:rPr>
                <w:rFonts w:asciiTheme="minorHAnsi" w:eastAsia="Times New Roman" w:hAnsiTheme="minorHAnsi" w:cstheme="minorHAnsi"/>
                <w:lang w:eastAsia="it-IT"/>
              </w:rPr>
              <w:t xml:space="preserve">bbligo di comunicare da parte dei committenti agli enti locali preposti alla verifica della regolarità edilizia degli interventi di ricostruzione/riparazione la destinazione delle macerie (impianti di trattamento/discariche) e il quantitativo stimato con eventuale </w:t>
            </w:r>
            <w:proofErr w:type="spellStart"/>
            <w:r w:rsidR="00EF7608" w:rsidRPr="003A4A57">
              <w:rPr>
                <w:rFonts w:asciiTheme="minorHAnsi" w:eastAsia="Times New Roman" w:hAnsiTheme="minorHAnsi" w:cstheme="minorHAnsi"/>
                <w:lang w:eastAsia="it-IT"/>
              </w:rPr>
              <w:t>premialità</w:t>
            </w:r>
            <w:proofErr w:type="spellEnd"/>
            <w:r w:rsidR="00EF7608" w:rsidRPr="003A4A57">
              <w:rPr>
                <w:rFonts w:asciiTheme="minorHAnsi" w:eastAsia="Times New Roman" w:hAnsiTheme="minorHAnsi" w:cstheme="minorHAnsi"/>
                <w:lang w:eastAsia="it-IT"/>
              </w:rPr>
              <w:t xml:space="preserve"> (es. riduzione della tassa di occupazione di suolo pubblico) nel caso di conferimento ad un impianto di recupero;</w:t>
            </w:r>
          </w:p>
          <w:p w:rsidR="00EF7608" w:rsidRPr="003A4A57" w:rsidRDefault="00C350C6" w:rsidP="00565C3E">
            <w:pPr>
              <w:pStyle w:val="Paragrafoelenco"/>
              <w:numPr>
                <w:ilvl w:val="0"/>
                <w:numId w:val="17"/>
              </w:num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o</w:t>
            </w:r>
            <w:r w:rsidR="00EF7608" w:rsidRPr="003A4A57">
              <w:rPr>
                <w:rFonts w:asciiTheme="minorHAnsi" w:eastAsia="Times New Roman" w:hAnsiTheme="minorHAnsi" w:cstheme="minorHAnsi"/>
                <w:lang w:eastAsia="it-IT"/>
              </w:rPr>
              <w:t>bbligo di esibire copia dei formulari di identificazione del rifiuto al fine di ottenere l’erogazione a saldo dei contributi.</w:t>
            </w:r>
          </w:p>
          <w:p w:rsidR="008279F9" w:rsidRPr="003A4A57" w:rsidRDefault="00EF7608" w:rsidP="001C75B6">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Alcuni di questi adempimenti, indipendentemente dalle previsioni contenute nel decreto legge, potranno essere comunque previsti dalle regioni nell’ambito dei provvedimenti attuativi del decreto legge ed in particolare di quelli relativi all’utilizzo dei contributi pubblici.</w:t>
            </w:r>
          </w:p>
        </w:tc>
      </w:tr>
      <w:tr w:rsidR="007A3A6D" w:rsidRPr="003A4A57" w:rsidTr="009B457F">
        <w:tc>
          <w:tcPr>
            <w:tcW w:w="1001" w:type="pct"/>
            <w:shd w:val="clear" w:color="auto" w:fill="F2F2F2" w:themeFill="background1" w:themeFillShade="F2"/>
          </w:tcPr>
          <w:p w:rsidR="007A3A6D" w:rsidRPr="003A4A57" w:rsidRDefault="007A3A6D" w:rsidP="004B2E6A">
            <w:pPr>
              <w:spacing w:after="120"/>
              <w:rPr>
                <w:rFonts w:asciiTheme="minorHAnsi" w:eastAsia="Times New Roman" w:hAnsiTheme="minorHAnsi" w:cstheme="minorHAnsi"/>
                <w:b/>
                <w:i/>
                <w:iCs/>
                <w:sz w:val="22"/>
                <w:szCs w:val="22"/>
                <w:lang w:eastAsia="it-IT"/>
              </w:rPr>
            </w:pPr>
            <w:r w:rsidRPr="003A4A57">
              <w:rPr>
                <w:rFonts w:asciiTheme="minorHAnsi" w:eastAsia="Times New Roman" w:hAnsiTheme="minorHAnsi" w:cstheme="minorHAnsi"/>
                <w:b/>
                <w:i/>
                <w:iCs/>
                <w:sz w:val="22"/>
                <w:szCs w:val="22"/>
                <w:lang w:eastAsia="it-IT"/>
              </w:rPr>
              <w:t>Patto di stabilità ed edifici pubblici</w:t>
            </w:r>
          </w:p>
        </w:tc>
        <w:tc>
          <w:tcPr>
            <w:tcW w:w="3999" w:type="pct"/>
            <w:shd w:val="clear" w:color="auto" w:fill="auto"/>
          </w:tcPr>
          <w:p w:rsidR="007A3A6D" w:rsidRPr="00E826AF" w:rsidRDefault="007A3A6D" w:rsidP="001C75B6">
            <w:pPr>
              <w:spacing w:after="120"/>
              <w:jc w:val="both"/>
              <w:rPr>
                <w:rFonts w:asciiTheme="minorHAnsi" w:eastAsia="Times New Roman" w:hAnsiTheme="minorHAnsi" w:cstheme="minorHAnsi"/>
                <w:iCs/>
                <w:lang w:eastAsia="it-IT"/>
              </w:rPr>
            </w:pPr>
            <w:r w:rsidRPr="003A4A57">
              <w:rPr>
                <w:rFonts w:asciiTheme="minorHAnsi" w:eastAsia="Times New Roman" w:hAnsiTheme="minorHAnsi" w:cstheme="minorHAnsi"/>
                <w:b/>
                <w:iCs/>
                <w:lang w:eastAsia="it-IT"/>
              </w:rPr>
              <w:t>La deroga va estesa anche alle Provincie</w:t>
            </w:r>
            <w:r w:rsidRPr="003A4A57">
              <w:rPr>
                <w:rFonts w:asciiTheme="minorHAnsi" w:eastAsia="Times New Roman" w:hAnsiTheme="minorHAnsi" w:cstheme="minorHAnsi"/>
                <w:iCs/>
                <w:lang w:eastAsia="it-IT"/>
              </w:rPr>
              <w:t xml:space="preserve">, nonché va segnalata a scanso di equivoci, la necessità che i </w:t>
            </w:r>
            <w:r w:rsidRPr="003A4A57">
              <w:rPr>
                <w:rFonts w:asciiTheme="minorHAnsi" w:eastAsia="Times New Roman" w:hAnsiTheme="minorHAnsi" w:cstheme="minorHAnsi"/>
                <w:b/>
                <w:iCs/>
                <w:lang w:eastAsia="it-IT"/>
              </w:rPr>
              <w:t>presidenti delle Regioni, nell'ambito delle funzioni loro attribuite, tengano conto delle priorità di intervento manifestate dagli enti locali, nonché di coordinamento nel caso di infrastrutture interregionali</w:t>
            </w:r>
            <w:r w:rsidRPr="003A4A57">
              <w:rPr>
                <w:rFonts w:asciiTheme="minorHAnsi" w:eastAsia="Times New Roman" w:hAnsiTheme="minorHAnsi" w:cstheme="minorHAnsi"/>
                <w:iCs/>
                <w:lang w:eastAsia="it-IT"/>
              </w:rPr>
              <w:t>.</w:t>
            </w:r>
          </w:p>
          <w:p w:rsidR="004D59F7" w:rsidRDefault="004D59F7" w:rsidP="00C467C6">
            <w:pPr>
              <w:spacing w:after="120"/>
              <w:jc w:val="both"/>
              <w:rPr>
                <w:rFonts w:asciiTheme="minorHAnsi" w:eastAsia="Times New Roman" w:hAnsiTheme="minorHAnsi" w:cstheme="minorHAnsi"/>
                <w:iCs/>
                <w:lang w:eastAsia="it-IT"/>
              </w:rPr>
            </w:pPr>
            <w:r>
              <w:rPr>
                <w:rFonts w:asciiTheme="minorHAnsi" w:eastAsia="Times New Roman" w:hAnsiTheme="minorHAnsi" w:cstheme="minorHAnsi"/>
                <w:iCs/>
                <w:lang w:eastAsia="it-IT"/>
              </w:rPr>
              <w:t xml:space="preserve">Inoltre si </w:t>
            </w:r>
            <w:r w:rsidR="00F85BAE">
              <w:rPr>
                <w:rFonts w:asciiTheme="minorHAnsi" w:eastAsia="Times New Roman" w:hAnsiTheme="minorHAnsi" w:cstheme="minorHAnsi"/>
                <w:iCs/>
                <w:lang w:eastAsia="it-IT"/>
              </w:rPr>
              <w:t>chiede</w:t>
            </w:r>
            <w:r>
              <w:rPr>
                <w:rFonts w:asciiTheme="minorHAnsi" w:eastAsia="Times New Roman" w:hAnsiTheme="minorHAnsi" w:cstheme="minorHAnsi"/>
                <w:iCs/>
                <w:lang w:eastAsia="it-IT"/>
              </w:rPr>
              <w:t xml:space="preserve"> che venga concessa la possibilità di derogare </w:t>
            </w:r>
            <w:r w:rsidR="00F85BAE">
              <w:rPr>
                <w:rFonts w:asciiTheme="minorHAnsi" w:eastAsia="Times New Roman" w:hAnsiTheme="minorHAnsi" w:cstheme="minorHAnsi"/>
                <w:iCs/>
                <w:lang w:eastAsia="it-IT"/>
              </w:rPr>
              <w:t>al Patto di stabilità da parte d</w:t>
            </w:r>
            <w:bookmarkStart w:id="0" w:name="_GoBack"/>
            <w:bookmarkEnd w:id="0"/>
            <w:r>
              <w:rPr>
                <w:rFonts w:asciiTheme="minorHAnsi" w:eastAsia="Times New Roman" w:hAnsiTheme="minorHAnsi" w:cstheme="minorHAnsi"/>
                <w:iCs/>
                <w:lang w:eastAsia="it-IT"/>
              </w:rPr>
              <w:t>i tutti i Comuni che hanno disponibilità di cassa.</w:t>
            </w:r>
          </w:p>
          <w:p w:rsidR="00C467C6" w:rsidRPr="003A4A57" w:rsidRDefault="00C467C6" w:rsidP="00C467C6">
            <w:pPr>
              <w:spacing w:after="120"/>
              <w:jc w:val="both"/>
              <w:rPr>
                <w:rFonts w:asciiTheme="minorHAnsi" w:eastAsia="Times New Roman" w:hAnsiTheme="minorHAnsi" w:cstheme="minorHAnsi"/>
                <w:iCs/>
                <w:lang w:eastAsia="it-IT"/>
              </w:rPr>
            </w:pPr>
            <w:r>
              <w:rPr>
                <w:rFonts w:asciiTheme="minorHAnsi" w:eastAsia="Times New Roman" w:hAnsiTheme="minorHAnsi" w:cstheme="minorHAnsi"/>
                <w:iCs/>
                <w:lang w:eastAsia="it-IT"/>
              </w:rPr>
              <w:t>In particolare va assicurata priorità nel processo di ricostruzione agli edifici scolastici prevedendo che i soggetti interessati si interfaccino adeguatamente con i Comuni e la Provincia.</w:t>
            </w:r>
          </w:p>
        </w:tc>
      </w:tr>
      <w:tr w:rsidR="00E57E75" w:rsidRPr="003A4A57" w:rsidTr="00E57E75">
        <w:tc>
          <w:tcPr>
            <w:tcW w:w="1001" w:type="pct"/>
            <w:shd w:val="clear" w:color="auto" w:fill="F2F2F2" w:themeFill="background1" w:themeFillShade="F2"/>
          </w:tcPr>
          <w:p w:rsidR="00E57E75" w:rsidRPr="003A4A57" w:rsidRDefault="00E57E75" w:rsidP="00E57E75">
            <w:pPr>
              <w:spacing w:after="120"/>
              <w:rPr>
                <w:rFonts w:asciiTheme="minorHAnsi" w:eastAsia="Times New Roman" w:hAnsiTheme="minorHAnsi" w:cstheme="minorHAnsi"/>
                <w:b/>
                <w:i/>
                <w:sz w:val="22"/>
                <w:szCs w:val="22"/>
                <w:lang w:eastAsia="it-IT"/>
              </w:rPr>
            </w:pPr>
            <w:r w:rsidRPr="003A4A57">
              <w:rPr>
                <w:rFonts w:asciiTheme="minorHAnsi" w:eastAsia="Times New Roman" w:hAnsiTheme="minorHAnsi" w:cstheme="minorHAnsi"/>
                <w:b/>
                <w:i/>
                <w:sz w:val="22"/>
                <w:szCs w:val="22"/>
                <w:lang w:eastAsia="it-IT"/>
              </w:rPr>
              <w:t>Qualificazione dei lavori</w:t>
            </w:r>
          </w:p>
        </w:tc>
        <w:tc>
          <w:tcPr>
            <w:tcW w:w="3999" w:type="pct"/>
            <w:shd w:val="clear" w:color="auto" w:fill="auto"/>
          </w:tcPr>
          <w:p w:rsidR="00E57E75" w:rsidRPr="003A4A57" w:rsidRDefault="00E57E75" w:rsidP="00E57E75">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In particolare, nell’ambito di assicurare trasparenza al processo di ricostruzione, velocità nell’esecuzione degli interventi, va valutata l'ipotesi, pur trattandosi di opere private, di prevedere innanzitutto il rispetto della normativa antimafia e dei requisiti professionali a carico delle imprese esecutrici, anche sulla falsariga di quanto previsto da normative regionali.</w:t>
            </w:r>
          </w:p>
        </w:tc>
      </w:tr>
      <w:tr w:rsidR="00382111" w:rsidRPr="003A4A57" w:rsidTr="009B457F">
        <w:tc>
          <w:tcPr>
            <w:tcW w:w="1001" w:type="pct"/>
            <w:shd w:val="clear" w:color="auto" w:fill="F2F2F2" w:themeFill="background1" w:themeFillShade="F2"/>
          </w:tcPr>
          <w:p w:rsidR="00382111" w:rsidRPr="003A4A57" w:rsidRDefault="00382111" w:rsidP="004B2E6A">
            <w:pPr>
              <w:spacing w:after="120"/>
              <w:rPr>
                <w:rFonts w:asciiTheme="minorHAnsi" w:eastAsia="Times New Roman" w:hAnsiTheme="minorHAnsi" w:cstheme="minorHAnsi"/>
                <w:b/>
                <w:i/>
                <w:sz w:val="22"/>
                <w:szCs w:val="22"/>
                <w:lang w:eastAsia="it-IT"/>
              </w:rPr>
            </w:pPr>
            <w:r w:rsidRPr="003A4A57">
              <w:rPr>
                <w:rFonts w:asciiTheme="minorHAnsi" w:eastAsia="Times New Roman" w:hAnsiTheme="minorHAnsi" w:cstheme="minorHAnsi"/>
                <w:b/>
                <w:i/>
                <w:iCs/>
                <w:sz w:val="22"/>
                <w:szCs w:val="22"/>
                <w:lang w:eastAsia="it-IT"/>
              </w:rPr>
              <w:t>La sicurezza e regolarità nell’esecuzione dei lavori per la ricostruzione</w:t>
            </w:r>
          </w:p>
        </w:tc>
        <w:tc>
          <w:tcPr>
            <w:tcW w:w="3999" w:type="pct"/>
            <w:shd w:val="clear" w:color="auto" w:fill="auto"/>
          </w:tcPr>
          <w:p w:rsidR="00382111" w:rsidRPr="003A4A57" w:rsidRDefault="00382111" w:rsidP="00382111">
            <w:pPr>
              <w:spacing w:after="120"/>
              <w:jc w:val="both"/>
              <w:rPr>
                <w:rFonts w:asciiTheme="minorHAnsi" w:eastAsia="Times New Roman" w:hAnsiTheme="minorHAnsi" w:cstheme="minorHAnsi"/>
                <w:iCs/>
                <w:lang w:eastAsia="it-IT"/>
              </w:rPr>
            </w:pPr>
            <w:r w:rsidRPr="003A4A57">
              <w:rPr>
                <w:rFonts w:asciiTheme="minorHAnsi" w:eastAsia="Times New Roman" w:hAnsiTheme="minorHAnsi" w:cstheme="minorHAnsi"/>
                <w:iCs/>
                <w:lang w:eastAsia="it-IT"/>
              </w:rPr>
              <w:t>La ricostruzione nei territori danneggiati dal sisma necessiterà di misure volte selezionare la qualità degli operatori nonché di importanti investimenti per la sicurezza, con l’impegno di ogni singola impresa finalizzato a ridurre il livello di rischio.</w:t>
            </w:r>
          </w:p>
          <w:p w:rsidR="00382111" w:rsidRPr="003A4A57" w:rsidRDefault="00382111" w:rsidP="00382111">
            <w:pPr>
              <w:spacing w:after="120"/>
              <w:jc w:val="both"/>
              <w:rPr>
                <w:rFonts w:asciiTheme="minorHAnsi" w:eastAsia="Times New Roman" w:hAnsiTheme="minorHAnsi" w:cstheme="minorHAnsi"/>
                <w:iCs/>
                <w:lang w:eastAsia="it-IT"/>
              </w:rPr>
            </w:pPr>
            <w:r w:rsidRPr="003A4A57">
              <w:rPr>
                <w:rFonts w:asciiTheme="minorHAnsi" w:eastAsia="Times New Roman" w:hAnsiTheme="minorHAnsi" w:cstheme="minorHAnsi"/>
                <w:iCs/>
                <w:lang w:eastAsia="it-IT"/>
              </w:rPr>
              <w:t xml:space="preserve">Accanto al doveroso rispetto delle norme di legge sulla sicurezza, sarà opportuno introdurre meccanismi che sappiano premiare ogni sforzo ulteriore per </w:t>
            </w:r>
            <w:r w:rsidRPr="003A4A57">
              <w:rPr>
                <w:rFonts w:asciiTheme="minorHAnsi" w:eastAsia="Times New Roman" w:hAnsiTheme="minorHAnsi" w:cstheme="minorHAnsi"/>
                <w:b/>
                <w:iCs/>
                <w:lang w:eastAsia="it-IT"/>
              </w:rPr>
              <w:t>ridurre il rischio di incidenti sul lavoro</w:t>
            </w:r>
            <w:r w:rsidRPr="003A4A57">
              <w:rPr>
                <w:rFonts w:asciiTheme="minorHAnsi" w:eastAsia="Times New Roman" w:hAnsiTheme="minorHAnsi" w:cstheme="minorHAnsi"/>
                <w:iCs/>
                <w:lang w:eastAsia="it-IT"/>
              </w:rPr>
              <w:t>.</w:t>
            </w:r>
          </w:p>
          <w:p w:rsidR="00382111" w:rsidRPr="003A4A57" w:rsidRDefault="00382111" w:rsidP="00382111">
            <w:pPr>
              <w:spacing w:after="120"/>
              <w:jc w:val="both"/>
              <w:rPr>
                <w:rFonts w:asciiTheme="minorHAnsi" w:eastAsia="Times New Roman" w:hAnsiTheme="minorHAnsi" w:cstheme="minorHAnsi"/>
                <w:iCs/>
                <w:lang w:eastAsia="it-IT"/>
              </w:rPr>
            </w:pPr>
            <w:r w:rsidRPr="003A4A57">
              <w:rPr>
                <w:rFonts w:asciiTheme="minorHAnsi" w:eastAsia="Times New Roman" w:hAnsiTheme="minorHAnsi" w:cstheme="minorHAnsi"/>
                <w:iCs/>
                <w:lang w:eastAsia="it-IT"/>
              </w:rPr>
              <w:t xml:space="preserve">Si auspicano, pertanto, specifici provvedimenti che dispongano </w:t>
            </w:r>
            <w:r w:rsidRPr="003A4A57">
              <w:rPr>
                <w:rFonts w:asciiTheme="minorHAnsi" w:eastAsia="Times New Roman" w:hAnsiTheme="minorHAnsi" w:cstheme="minorHAnsi"/>
                <w:b/>
                <w:iCs/>
                <w:lang w:eastAsia="it-IT"/>
              </w:rPr>
              <w:t>forme premiali per gli operatori che adottino, in fase di esecuzione dei lavori, misure di sicurezza più stringenti rispetto a quelle standard</w:t>
            </w:r>
            <w:r w:rsidRPr="003A4A57">
              <w:rPr>
                <w:rFonts w:asciiTheme="minorHAnsi" w:eastAsia="Times New Roman" w:hAnsiTheme="minorHAnsi" w:cstheme="minorHAnsi"/>
                <w:iCs/>
                <w:lang w:eastAsia="it-IT"/>
              </w:rPr>
              <w:t xml:space="preserve">. </w:t>
            </w:r>
          </w:p>
          <w:p w:rsidR="00382111" w:rsidRPr="003A4A57" w:rsidRDefault="00382111" w:rsidP="00382111">
            <w:pPr>
              <w:spacing w:after="120"/>
              <w:jc w:val="both"/>
              <w:rPr>
                <w:rFonts w:asciiTheme="minorHAnsi" w:eastAsia="Times New Roman" w:hAnsiTheme="minorHAnsi" w:cstheme="minorHAnsi"/>
                <w:iCs/>
                <w:lang w:eastAsia="it-IT"/>
              </w:rPr>
            </w:pPr>
            <w:r w:rsidRPr="003A4A57">
              <w:rPr>
                <w:rFonts w:asciiTheme="minorHAnsi" w:eastAsia="Times New Roman" w:hAnsiTheme="minorHAnsi" w:cstheme="minorHAnsi"/>
                <w:iCs/>
                <w:lang w:eastAsia="it-IT"/>
              </w:rPr>
              <w:t>Oltre a ciò, si potrebbe  ipotizzare l'introduzione di una detrazione di imposta pari a una quota parte delle spese sostenute e documentate dagli operatori per l’effettuazione di investimenti in nuove tecnologie e per l’applicazione di moderni sistemi e dispositivi di sicurezza, compresi quelli individuali di tutela e protezione della salute e sicurezza dei lavoratori, ulteriori rispetto a quelli previsti per legge. La misura proposta dovrà operare quale forte incentivo non solo ai fini della sicurezza sul lavoro, ma anche per misure volte a prevenire le infiltrazioni malavitose nei futuri cantieri.</w:t>
            </w:r>
          </w:p>
          <w:p w:rsidR="00382111" w:rsidRPr="003A4A57" w:rsidRDefault="00382111" w:rsidP="00382111">
            <w:pPr>
              <w:spacing w:after="120"/>
              <w:jc w:val="both"/>
              <w:rPr>
                <w:rFonts w:asciiTheme="minorHAnsi" w:eastAsia="Times New Roman" w:hAnsiTheme="minorHAnsi" w:cstheme="minorHAnsi"/>
                <w:iCs/>
                <w:lang w:eastAsia="it-IT"/>
              </w:rPr>
            </w:pPr>
            <w:r w:rsidRPr="003A4A57">
              <w:rPr>
                <w:rFonts w:asciiTheme="minorHAnsi" w:eastAsia="Times New Roman" w:hAnsiTheme="minorHAnsi" w:cstheme="minorHAnsi"/>
                <w:b/>
                <w:iCs/>
                <w:lang w:eastAsia="it-IT"/>
              </w:rPr>
              <w:t>Agevolazioni</w:t>
            </w:r>
            <w:r w:rsidRPr="003A4A57">
              <w:rPr>
                <w:rFonts w:asciiTheme="minorHAnsi" w:eastAsia="Times New Roman" w:hAnsiTheme="minorHAnsi" w:cstheme="minorHAnsi"/>
                <w:iCs/>
                <w:lang w:eastAsia="it-IT"/>
              </w:rPr>
              <w:t xml:space="preserve"> </w:t>
            </w:r>
            <w:r w:rsidRPr="003A4A57">
              <w:rPr>
                <w:rFonts w:asciiTheme="minorHAnsi" w:eastAsia="Times New Roman" w:hAnsiTheme="minorHAnsi" w:cstheme="minorHAnsi"/>
                <w:b/>
                <w:iCs/>
                <w:lang w:eastAsia="it-IT"/>
              </w:rPr>
              <w:t>specifiche in materia di premi INAIL</w:t>
            </w:r>
            <w:r w:rsidRPr="003A4A57">
              <w:rPr>
                <w:rFonts w:asciiTheme="minorHAnsi" w:eastAsia="Times New Roman" w:hAnsiTheme="minorHAnsi" w:cstheme="minorHAnsi"/>
                <w:iCs/>
                <w:lang w:eastAsia="it-IT"/>
              </w:rPr>
              <w:t xml:space="preserve"> dovrebbero anche essere considerate, secondo i principi contenuti nel Testo unico sulla sicurezza, per le </w:t>
            </w:r>
            <w:r w:rsidRPr="003A4A57">
              <w:rPr>
                <w:rFonts w:asciiTheme="minorHAnsi" w:eastAsia="Times New Roman" w:hAnsiTheme="minorHAnsi" w:cstheme="minorHAnsi"/>
                <w:b/>
                <w:iCs/>
                <w:lang w:eastAsia="it-IT"/>
              </w:rPr>
              <w:t>imprese che si avvarranno sia prima che durante l’esecuzione dei lavori di una periodica e costante consulenza da parte dei comitati paritetici territoriali per la sicurezza</w:t>
            </w:r>
            <w:r w:rsidRPr="003A4A57">
              <w:rPr>
                <w:rFonts w:asciiTheme="minorHAnsi" w:eastAsia="Times New Roman" w:hAnsiTheme="minorHAnsi" w:cstheme="minorHAnsi"/>
                <w:iCs/>
                <w:lang w:eastAsia="it-IT"/>
              </w:rPr>
              <w:t xml:space="preserve"> (</w:t>
            </w:r>
            <w:proofErr w:type="spellStart"/>
            <w:r w:rsidRPr="003A4A57">
              <w:rPr>
                <w:rFonts w:asciiTheme="minorHAnsi" w:eastAsia="Times New Roman" w:hAnsiTheme="minorHAnsi" w:cstheme="minorHAnsi"/>
                <w:iCs/>
                <w:lang w:eastAsia="it-IT"/>
              </w:rPr>
              <w:t>Cpt</w:t>
            </w:r>
            <w:proofErr w:type="spellEnd"/>
            <w:r w:rsidRPr="003A4A57">
              <w:rPr>
                <w:rFonts w:asciiTheme="minorHAnsi" w:eastAsia="Times New Roman" w:hAnsiTheme="minorHAnsi" w:cstheme="minorHAnsi"/>
                <w:iCs/>
                <w:lang w:eastAsia="it-IT"/>
              </w:rPr>
              <w:t>).</w:t>
            </w:r>
          </w:p>
          <w:p w:rsidR="00382111" w:rsidRPr="003A4A57" w:rsidRDefault="00382111" w:rsidP="00382111">
            <w:pPr>
              <w:spacing w:after="120"/>
              <w:jc w:val="both"/>
              <w:rPr>
                <w:rFonts w:asciiTheme="minorHAnsi" w:eastAsia="Times New Roman" w:hAnsiTheme="minorHAnsi" w:cstheme="minorHAnsi"/>
                <w:iCs/>
                <w:lang w:eastAsia="it-IT"/>
              </w:rPr>
            </w:pPr>
            <w:r w:rsidRPr="003A4A57">
              <w:rPr>
                <w:rFonts w:asciiTheme="minorHAnsi" w:eastAsia="Times New Roman" w:hAnsiTheme="minorHAnsi" w:cstheme="minorHAnsi"/>
                <w:iCs/>
                <w:lang w:eastAsia="it-IT"/>
              </w:rPr>
              <w:t>Tali organismi potranno assumere un ruolo rilevante, assieme ai rappresentanti dei lavoratori per la sicurezza e agli enti preposti ai controlli, nell’attività di supporto per la prevenzione e la sicurezza nei cantieri edili. Potrebbe essere ipotizzato anche l’esame e la validazione dei piani di sicurezza e di coordinamento da parte di tali enti che, in fase di esecuzione, potrebbe essere estesa anche ai piani operativi di sicurezza redatti dalle imprese stesse.</w:t>
            </w:r>
          </w:p>
          <w:p w:rsidR="00382111" w:rsidRPr="003A4A57" w:rsidRDefault="00382111" w:rsidP="00382111">
            <w:pPr>
              <w:spacing w:after="120"/>
              <w:jc w:val="both"/>
              <w:rPr>
                <w:rFonts w:asciiTheme="minorHAnsi" w:eastAsia="Times New Roman" w:hAnsiTheme="minorHAnsi" w:cstheme="minorHAnsi"/>
                <w:iCs/>
                <w:lang w:eastAsia="it-IT"/>
              </w:rPr>
            </w:pPr>
            <w:r w:rsidRPr="003A4A57">
              <w:rPr>
                <w:rFonts w:asciiTheme="minorHAnsi" w:eastAsia="Times New Roman" w:hAnsiTheme="minorHAnsi" w:cstheme="minorHAnsi"/>
                <w:iCs/>
                <w:lang w:eastAsia="it-IT"/>
              </w:rPr>
              <w:t>Accanto alle misure premiali, si potrebbe rendere comunque obbligatoria l’adozione e l'implementazione, in fase di esecuzione dei lavori, da parte delle imprese, di sistemi di gestione della sicurezza sul lavoro realizzati utilizzando gli strumenti messi a disposizione dall’ANCE.</w:t>
            </w:r>
          </w:p>
          <w:p w:rsidR="00382111" w:rsidRPr="003A4A57" w:rsidRDefault="00382111" w:rsidP="00382111">
            <w:pPr>
              <w:spacing w:after="120"/>
              <w:jc w:val="both"/>
              <w:rPr>
                <w:rFonts w:asciiTheme="minorHAnsi" w:eastAsia="Times New Roman" w:hAnsiTheme="minorHAnsi" w:cstheme="minorHAnsi"/>
                <w:iCs/>
                <w:lang w:eastAsia="it-IT"/>
              </w:rPr>
            </w:pPr>
            <w:r w:rsidRPr="003A4A57">
              <w:rPr>
                <w:rFonts w:asciiTheme="minorHAnsi" w:eastAsia="Times New Roman" w:hAnsiTheme="minorHAnsi" w:cstheme="minorHAnsi"/>
                <w:iCs/>
                <w:lang w:eastAsia="it-IT"/>
              </w:rPr>
              <w:t>Allo scopo di privilegiare e promuovere l’occupazione nelle zone colpite dal sisma, potrebbe essere poi stabilito l’obbligo di utilizzo di una percentuale di lavoratori ivi residenti o destinatari di trattamenti di cassa integrazione guadagni ordinaria o straordinaria, disoccupazione speciale, mobilità a causa dell’evento sismico, percentuale da computarsi sulla manodopera complessiva necessaria per i lavori di ricostruzione.</w:t>
            </w:r>
          </w:p>
          <w:p w:rsidR="00382111" w:rsidRPr="003A4A57" w:rsidRDefault="00382111" w:rsidP="00382111">
            <w:pPr>
              <w:spacing w:after="120"/>
              <w:jc w:val="both"/>
              <w:rPr>
                <w:rFonts w:asciiTheme="minorHAnsi" w:eastAsia="Times New Roman" w:hAnsiTheme="minorHAnsi" w:cstheme="minorHAnsi"/>
                <w:iCs/>
                <w:lang w:eastAsia="it-IT"/>
              </w:rPr>
            </w:pPr>
            <w:r w:rsidRPr="003A4A57">
              <w:rPr>
                <w:rFonts w:asciiTheme="minorHAnsi" w:eastAsia="Times New Roman" w:hAnsiTheme="minorHAnsi" w:cstheme="minorHAnsi"/>
                <w:iCs/>
                <w:lang w:eastAsia="it-IT"/>
              </w:rPr>
              <w:t>In tale contesto, le imprese saranno chiamate a condividere le iniziative formative poste in essere dal sistema paritetico di settore, le Scuole Edili, con particolare riguardo a quelle mirate alla riqualificazione professionale dei suddetti lavoratori.</w:t>
            </w:r>
          </w:p>
          <w:p w:rsidR="00382111" w:rsidRPr="003A4A57" w:rsidRDefault="00382111" w:rsidP="00382111">
            <w:pPr>
              <w:spacing w:after="120"/>
              <w:jc w:val="both"/>
              <w:rPr>
                <w:rFonts w:asciiTheme="minorHAnsi" w:eastAsia="Times New Roman" w:hAnsiTheme="minorHAnsi" w:cstheme="minorHAnsi"/>
                <w:iCs/>
                <w:lang w:eastAsia="it-IT"/>
              </w:rPr>
            </w:pPr>
            <w:r w:rsidRPr="003A4A57">
              <w:rPr>
                <w:rFonts w:asciiTheme="minorHAnsi" w:eastAsia="Times New Roman" w:hAnsiTheme="minorHAnsi" w:cstheme="minorHAnsi"/>
                <w:iCs/>
                <w:lang w:eastAsia="it-IT"/>
              </w:rPr>
              <w:t xml:space="preserve">È necessario, poi, tenere conto che la sicurezza sul lavoro delle imprese è strettamente connessa alla regolarità contributiva delle medesime. Spesso, infatti, fenomeni di lavoro irregolare comportano scarsa o inesistente attenzione sulle tematiche della sicurezza, con evidenti gravi conseguenze. </w:t>
            </w:r>
          </w:p>
          <w:p w:rsidR="00382111" w:rsidRPr="003A4A57" w:rsidRDefault="00382111" w:rsidP="00382111">
            <w:pPr>
              <w:spacing w:after="120"/>
              <w:jc w:val="both"/>
              <w:rPr>
                <w:rFonts w:asciiTheme="minorHAnsi" w:eastAsia="Times New Roman" w:hAnsiTheme="minorHAnsi" w:cstheme="minorHAnsi"/>
                <w:iCs/>
                <w:lang w:eastAsia="it-IT"/>
              </w:rPr>
            </w:pPr>
            <w:r w:rsidRPr="003A4A57">
              <w:rPr>
                <w:rFonts w:asciiTheme="minorHAnsi" w:eastAsia="Times New Roman" w:hAnsiTheme="minorHAnsi" w:cstheme="minorHAnsi"/>
                <w:iCs/>
                <w:lang w:eastAsia="it-IT"/>
              </w:rPr>
              <w:t>A tal fine sarà fondamentale monitorare tale regolarità anche attraverso l’attività delle Casse Edili, che dovrà riguardare necessariamente tutti i soggetti coinvolti nella catena degli appalti.</w:t>
            </w:r>
          </w:p>
          <w:p w:rsidR="008279F9" w:rsidRPr="003A4A57" w:rsidRDefault="00382111" w:rsidP="001C75B6">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iCs/>
                <w:lang w:eastAsia="it-IT"/>
              </w:rPr>
              <w:t xml:space="preserve">In tale contesto assumerà sempre di più un ruolo fondamentale il </w:t>
            </w:r>
            <w:proofErr w:type="spellStart"/>
            <w:r w:rsidRPr="003A4A57">
              <w:rPr>
                <w:rFonts w:asciiTheme="minorHAnsi" w:eastAsia="Times New Roman" w:hAnsiTheme="minorHAnsi" w:cstheme="minorHAnsi"/>
                <w:iCs/>
                <w:lang w:eastAsia="it-IT"/>
              </w:rPr>
              <w:t>Durc</w:t>
            </w:r>
            <w:proofErr w:type="spellEnd"/>
            <w:r w:rsidRPr="003A4A57">
              <w:rPr>
                <w:rFonts w:asciiTheme="minorHAnsi" w:eastAsia="Times New Roman" w:hAnsiTheme="minorHAnsi" w:cstheme="minorHAnsi"/>
                <w:iCs/>
                <w:lang w:eastAsia="it-IT"/>
              </w:rPr>
              <w:t xml:space="preserve"> che dovrà rappresentare necessariamente lo strumento prioritario per la verifica della regolarità degli operatori in tutte le tipologie dei lavori, sia pubblici che privati, accompagnando ogni fase dei lavori stessi sino alla loro ultimazione.</w:t>
            </w:r>
          </w:p>
        </w:tc>
      </w:tr>
      <w:tr w:rsidR="00E57E75" w:rsidRPr="003A4A57" w:rsidTr="00E57E75">
        <w:tc>
          <w:tcPr>
            <w:tcW w:w="1001" w:type="pct"/>
            <w:shd w:val="clear" w:color="auto" w:fill="F2F2F2" w:themeFill="background1" w:themeFillShade="F2"/>
          </w:tcPr>
          <w:p w:rsidR="00E57E75" w:rsidRPr="003A4A57" w:rsidRDefault="00E57E75" w:rsidP="00E57E75">
            <w:pPr>
              <w:rPr>
                <w:rFonts w:asciiTheme="minorHAnsi" w:eastAsia="Times New Roman" w:hAnsiTheme="minorHAnsi" w:cstheme="minorHAnsi"/>
                <w:b/>
                <w:i/>
                <w:iCs/>
                <w:sz w:val="22"/>
                <w:szCs w:val="22"/>
                <w:lang w:eastAsia="it-IT"/>
              </w:rPr>
            </w:pPr>
            <w:r w:rsidRPr="003A4A57">
              <w:rPr>
                <w:rFonts w:asciiTheme="minorHAnsi" w:hAnsiTheme="minorHAnsi" w:cstheme="minorHAnsi"/>
                <w:b/>
                <w:i/>
                <w:sz w:val="22"/>
                <w:szCs w:val="22"/>
              </w:rPr>
              <w:t>Elenco di operatori economici presso le Prefetture (</w:t>
            </w:r>
            <w:proofErr w:type="spellStart"/>
            <w:r w:rsidRPr="003A4A57">
              <w:rPr>
                <w:rFonts w:asciiTheme="minorHAnsi" w:hAnsiTheme="minorHAnsi" w:cstheme="minorHAnsi"/>
                <w:b/>
                <w:i/>
                <w:sz w:val="22"/>
                <w:szCs w:val="22"/>
              </w:rPr>
              <w:t>white</w:t>
            </w:r>
            <w:proofErr w:type="spellEnd"/>
            <w:r w:rsidRPr="003A4A57">
              <w:rPr>
                <w:rFonts w:asciiTheme="minorHAnsi" w:hAnsiTheme="minorHAnsi" w:cstheme="minorHAnsi"/>
                <w:b/>
                <w:i/>
                <w:sz w:val="22"/>
                <w:szCs w:val="22"/>
              </w:rPr>
              <w:t xml:space="preserve"> list)</w:t>
            </w:r>
          </w:p>
        </w:tc>
        <w:tc>
          <w:tcPr>
            <w:tcW w:w="3999" w:type="pct"/>
            <w:shd w:val="clear" w:color="auto" w:fill="auto"/>
          </w:tcPr>
          <w:p w:rsidR="00E57E75" w:rsidRPr="003A4A57" w:rsidRDefault="00E57E75" w:rsidP="00E57E75">
            <w:pPr>
              <w:spacing w:after="120"/>
              <w:jc w:val="both"/>
              <w:rPr>
                <w:rFonts w:asciiTheme="minorHAnsi" w:hAnsiTheme="minorHAnsi" w:cstheme="minorHAnsi"/>
              </w:rPr>
            </w:pPr>
            <w:r w:rsidRPr="003A4A57">
              <w:rPr>
                <w:rFonts w:asciiTheme="minorHAnsi" w:hAnsiTheme="minorHAnsi" w:cstheme="minorHAnsi"/>
              </w:rPr>
              <w:t>Al fine di rendere più efficace il sistema di controlli contro le infiltrazioni della criminalità organizzata nelle attività di ricostruzione, si ritiene opportuno prevedere la costituzione presso le prefetture competenti per territorio di elenchi di operatori economici sul modello delle “</w:t>
            </w:r>
            <w:proofErr w:type="spellStart"/>
            <w:r w:rsidRPr="003A4A57">
              <w:rPr>
                <w:rFonts w:asciiTheme="minorHAnsi" w:hAnsiTheme="minorHAnsi" w:cstheme="minorHAnsi"/>
              </w:rPr>
              <w:t>white</w:t>
            </w:r>
            <w:proofErr w:type="spellEnd"/>
            <w:r w:rsidRPr="003A4A57">
              <w:rPr>
                <w:rFonts w:asciiTheme="minorHAnsi" w:hAnsiTheme="minorHAnsi" w:cstheme="minorHAnsi"/>
              </w:rPr>
              <w:t xml:space="preserve"> list” istituite per la ricostruzione in Abruzzo, ma con ulteriori perfezionamenti.</w:t>
            </w:r>
          </w:p>
          <w:p w:rsidR="00E57E75" w:rsidRPr="003A4A57" w:rsidRDefault="00E57E75" w:rsidP="00E57E75">
            <w:pPr>
              <w:spacing w:after="120"/>
              <w:jc w:val="both"/>
              <w:rPr>
                <w:rFonts w:asciiTheme="minorHAnsi" w:hAnsiTheme="minorHAnsi" w:cstheme="minorHAnsi"/>
              </w:rPr>
            </w:pPr>
            <w:r w:rsidRPr="003A4A57">
              <w:rPr>
                <w:rFonts w:asciiTheme="minorHAnsi" w:hAnsiTheme="minorHAnsi" w:cstheme="minorHAnsi"/>
              </w:rPr>
              <w:t>Come nel caso sopra citato, gli elenchi dovrebbero riguardare le attività che si pongono a valle degli appalti di lavori e che sono considerati maggiormente a rischio di condizionamento mafioso, quali quelle legate al ciclo del calcestruzzo e degli inerti, i noli a caldo e a freddo, lo smaltimento in discarica dei residui di lavorazione e dei rifiuti, l’autotrasporto conto terzi, la guardiania dei cantieri.</w:t>
            </w:r>
          </w:p>
          <w:p w:rsidR="00E57E75" w:rsidRPr="003A4A57" w:rsidRDefault="00E57E75" w:rsidP="00E57E75">
            <w:pPr>
              <w:spacing w:after="120"/>
              <w:jc w:val="both"/>
              <w:rPr>
                <w:rFonts w:asciiTheme="minorHAnsi" w:hAnsiTheme="minorHAnsi" w:cstheme="minorHAnsi"/>
              </w:rPr>
            </w:pPr>
            <w:r w:rsidRPr="003A4A57">
              <w:rPr>
                <w:rFonts w:asciiTheme="minorHAnsi" w:hAnsiTheme="minorHAnsi" w:cstheme="minorHAnsi"/>
              </w:rPr>
              <w:t>Le prefetture dovrebbero effettuare controlli sugli operatori economici aventi il contenuto delle informazioni antimafia tipiche (art. 10, comma 7, DPR n. 252/1998), al momento dell’iscrizione e successivamente ad intervalli periodici.</w:t>
            </w:r>
          </w:p>
          <w:p w:rsidR="00E57E75" w:rsidRPr="003A4A57" w:rsidRDefault="00E57E75" w:rsidP="00E57E75">
            <w:pPr>
              <w:spacing w:after="120"/>
              <w:jc w:val="both"/>
              <w:rPr>
                <w:rFonts w:asciiTheme="minorHAnsi" w:eastAsia="Times New Roman" w:hAnsiTheme="minorHAnsi" w:cstheme="minorHAnsi"/>
                <w:iCs/>
                <w:lang w:eastAsia="it-IT"/>
              </w:rPr>
            </w:pPr>
            <w:r w:rsidRPr="003A4A57">
              <w:rPr>
                <w:rFonts w:asciiTheme="minorHAnsi" w:hAnsiTheme="minorHAnsi" w:cstheme="minorHAnsi"/>
              </w:rPr>
              <w:t>A differenza della ricostruzione in Abruzzo, si dovrebbe prevedere l’obbligatorietà dell’iscrizione negli elenchi ai fini dell’esercizio delle relative attività. Ciò garantirebbe  alle imprese appaltatrici, tanto di lavori privati che di opere pubbliche, la sicurezza di poter scegliere i propri fornitori tra soggetti preventivamente monitorati dalle prefetture, evitando il rischio di qualsiasi contagio con la criminalità organizzata.</w:t>
            </w:r>
          </w:p>
        </w:tc>
      </w:tr>
      <w:tr w:rsidR="003A4A57" w:rsidRPr="003A4A57" w:rsidTr="00735F85">
        <w:tc>
          <w:tcPr>
            <w:tcW w:w="1001" w:type="pct"/>
            <w:shd w:val="clear" w:color="auto" w:fill="F2F2F2" w:themeFill="background1" w:themeFillShade="F2"/>
          </w:tcPr>
          <w:p w:rsidR="003A4A57" w:rsidRPr="003A4A57" w:rsidRDefault="003A4A57" w:rsidP="00735F85">
            <w:pPr>
              <w:spacing w:after="120"/>
              <w:rPr>
                <w:rFonts w:asciiTheme="minorHAnsi" w:eastAsia="Times New Roman" w:hAnsiTheme="minorHAnsi" w:cstheme="minorHAnsi"/>
                <w:b/>
                <w:i/>
                <w:iCs/>
                <w:sz w:val="22"/>
                <w:szCs w:val="22"/>
                <w:lang w:eastAsia="it-IT"/>
              </w:rPr>
            </w:pPr>
            <w:r w:rsidRPr="003A4A57">
              <w:rPr>
                <w:rFonts w:asciiTheme="minorHAnsi" w:eastAsia="Times New Roman" w:hAnsiTheme="minorHAnsi" w:cstheme="minorHAnsi"/>
                <w:b/>
                <w:i/>
                <w:sz w:val="22"/>
                <w:szCs w:val="22"/>
                <w:lang w:eastAsia="it-IT"/>
              </w:rPr>
              <w:t>Sospensione degli adempimenti e versamenti tributari, previdenziali e assicurativi, dei processi e atti giudiziari</w:t>
            </w:r>
          </w:p>
        </w:tc>
        <w:tc>
          <w:tcPr>
            <w:tcW w:w="3999" w:type="pct"/>
            <w:shd w:val="clear" w:color="auto" w:fill="auto"/>
          </w:tcPr>
          <w:p w:rsidR="003A4A57" w:rsidRPr="003A4A57" w:rsidRDefault="003A4A57" w:rsidP="00735F85">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L’art.6 e l’art.8, co.1 n.3 e co.3, del D.L. 74/2012, tra le numerose disposizioni a favore delle popolazioni colpite dal sisma del 20 e 29 Maggio, prevedono:</w:t>
            </w:r>
          </w:p>
          <w:p w:rsidR="003A4A57" w:rsidRPr="003A4A57" w:rsidRDefault="003A4A57" w:rsidP="00735F85">
            <w:pPr>
              <w:pStyle w:val="Paragrafoelenco"/>
              <w:numPr>
                <w:ilvl w:val="0"/>
                <w:numId w:val="17"/>
              </w:num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la sospensione, sino al 31 luglio 2012, tra gli altri, dei processi civili, penali, amministrativi e tributari, dei termini di comunicazione e notifica di atti del procedimento che chiunque debba svolgere negli uffici giudiziari aventi sede nei Comuni colpiti dal sisma, nonché dei termini di scadenza dei titoli di credito o atti aventi forza esecutiva (vaglia cambiari, cambiali);</w:t>
            </w:r>
          </w:p>
          <w:p w:rsidR="003A4A57" w:rsidRPr="003A4A57" w:rsidRDefault="003A4A57" w:rsidP="00735F85">
            <w:pPr>
              <w:pStyle w:val="Paragrafoelenco"/>
              <w:numPr>
                <w:ilvl w:val="0"/>
                <w:numId w:val="17"/>
              </w:num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la sospensione fino al 30 settembre 2012 dei termini per la notifica delle cartelle di pagamento e per la riscossione delle somme risultanti dagli avvisi di accertamento, nonché dei termini di prescrizione e decadenza relativi all'attività degli uffici finanziari, ivi compresi quelli degli enti locali e della Regione;</w:t>
            </w:r>
          </w:p>
          <w:p w:rsidR="003A4A57" w:rsidRPr="003A4A57" w:rsidRDefault="003A4A57" w:rsidP="00735F85">
            <w:pPr>
              <w:pStyle w:val="Paragrafoelenco"/>
              <w:numPr>
                <w:ilvl w:val="0"/>
                <w:numId w:val="17"/>
              </w:num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la sospensione fino al 30 settembre 2012 dei termini relativi agli adempimenti e ai versamenti dei contributi previdenziali e assistenziali e dei premi per l’assicurazione obbligatoria;</w:t>
            </w:r>
          </w:p>
          <w:p w:rsidR="003A4A57" w:rsidRPr="003A4A57" w:rsidRDefault="003A4A57" w:rsidP="00735F85">
            <w:pPr>
              <w:pStyle w:val="Paragrafoelenco"/>
              <w:numPr>
                <w:ilvl w:val="0"/>
                <w:numId w:val="17"/>
              </w:num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l’esenzione, ai fini IRPEF e IRES, per i redditi dei fabbricati, ubicati nelle zone colpite dal sisma, qualora risultino distrutti o inagibili (anche parzialmente), fino alla definitiva ricostruzione e agibilità degli stessi immobili e comunque fino all’anno d’imposta 2013;</w:t>
            </w:r>
          </w:p>
          <w:p w:rsidR="003A4A57" w:rsidRPr="003A4A57" w:rsidRDefault="003A4A57" w:rsidP="00735F85">
            <w:pPr>
              <w:pStyle w:val="Paragrafoelenco"/>
              <w:numPr>
                <w:ilvl w:val="0"/>
                <w:numId w:val="17"/>
              </w:num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l’esenzione, per gli stessi fabbricati, dall’applicazione dell’IMU, fino alla definitiva ricostruzione e agibilità e comunque non oltre il 31 dicembre 2014.</w:t>
            </w:r>
          </w:p>
          <w:p w:rsidR="003A4A57" w:rsidRPr="003A4A57" w:rsidRDefault="003A4A57" w:rsidP="00735F85">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Tale sospensione si aggiunge alle altre misure d’urgenza previste dal D.M. 1° giugno 2012, il quale, entrato in vigore dal 6 giugno u.s., prevede per le persone fisiche e soggetti diversi, che alla data del 20 maggio 2012 avevano la res</w:t>
            </w:r>
            <w:r w:rsidR="0095107F">
              <w:rPr>
                <w:rFonts w:asciiTheme="minorHAnsi" w:eastAsia="Times New Roman" w:hAnsiTheme="minorHAnsi" w:cstheme="minorHAnsi"/>
                <w:lang w:eastAsia="it-IT"/>
              </w:rPr>
              <w:t>idenza ovvero la sede operativa</w:t>
            </w:r>
            <w:r w:rsidRPr="003A4A57">
              <w:rPr>
                <w:rFonts w:asciiTheme="minorHAnsi" w:eastAsia="Times New Roman" w:hAnsiTheme="minorHAnsi" w:cstheme="minorHAnsi"/>
                <w:lang w:eastAsia="it-IT"/>
              </w:rPr>
              <w:t xml:space="preserve"> (che per il settore edilizio coincide con i cantieri in essere, siti nei Comuni colpiti dal sisma)</w:t>
            </w:r>
            <w:r w:rsidR="0095107F">
              <w:rPr>
                <w:rFonts w:asciiTheme="minorHAnsi" w:eastAsia="Times New Roman" w:hAnsiTheme="minorHAnsi" w:cstheme="minorHAnsi"/>
                <w:lang w:eastAsia="it-IT"/>
              </w:rPr>
              <w:t>,</w:t>
            </w:r>
            <w:r w:rsidRPr="003A4A57">
              <w:rPr>
                <w:rFonts w:asciiTheme="minorHAnsi" w:eastAsia="Times New Roman" w:hAnsiTheme="minorHAnsi" w:cstheme="minorHAnsi"/>
                <w:lang w:eastAsia="it-IT"/>
              </w:rPr>
              <w:t xml:space="preserve"> in uno dei Comuni delle provincie di Bologna, Modena, Ferrara, Mantova, Reggio Emilia e Rovigo, la sospensione, fino al 30 settembre 2012, dei termini dei versamenti e degli adempimenti tributari, compresi quelli relativi alle cartelle emesse dagli agenti della riscossione nei comuni che sono stati individuati dal dipartimento della Protezione civile.</w:t>
            </w:r>
          </w:p>
          <w:p w:rsidR="003A4A57" w:rsidRPr="003A4A57" w:rsidRDefault="003A4A57" w:rsidP="00735F85">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Per le città capoluogo di queste province, la sospensione deve essere richiesta dai contribuenti, che alla domanda devono unire una dichiarazione di inagibilità della propria casa, studio professionale o azienda, verificata dall’Autorità comunale.</w:t>
            </w:r>
          </w:p>
          <w:p w:rsidR="003A4A57" w:rsidRPr="003A4A57" w:rsidRDefault="003A4A57" w:rsidP="00735F85">
            <w:pPr>
              <w:spacing w:after="120"/>
              <w:jc w:val="both"/>
              <w:rPr>
                <w:rFonts w:asciiTheme="minorHAnsi" w:eastAsia="Times New Roman" w:hAnsiTheme="minorHAnsi" w:cstheme="minorHAnsi"/>
                <w:lang w:eastAsia="it-IT"/>
              </w:rPr>
            </w:pPr>
            <w:r w:rsidRPr="003A4A57">
              <w:rPr>
                <w:rFonts w:asciiTheme="minorHAnsi" w:eastAsia="Times New Roman" w:hAnsiTheme="minorHAnsi" w:cstheme="minorHAnsi"/>
                <w:lang w:eastAsia="it-IT"/>
              </w:rPr>
              <w:t>Tali misure, nel complesso, trovano applicazione per i contribuenti residenti nei comuni danneggiati, individuati dall’Elenco allegato al D. M. 1° giugno 2012, che tuttavia non risulta strettamente coordinato con l’elenco dei Comuni contenuti nell’Allegato 1 al D.L. 74/2012, a cui si applicano le norme tecniche contenute nell’art.3, co.7 del medesimo Decreto.</w:t>
            </w:r>
          </w:p>
          <w:p w:rsidR="003A4A57" w:rsidRPr="003A4A57" w:rsidRDefault="003A4A57" w:rsidP="003A4A57">
            <w:pPr>
              <w:spacing w:after="120"/>
              <w:jc w:val="both"/>
              <w:rPr>
                <w:rFonts w:asciiTheme="minorHAnsi" w:eastAsia="Times New Roman" w:hAnsiTheme="minorHAnsi" w:cstheme="minorHAnsi"/>
                <w:b/>
                <w:lang w:eastAsia="it-IT"/>
              </w:rPr>
            </w:pPr>
            <w:r w:rsidRPr="003A4A57">
              <w:rPr>
                <w:rFonts w:asciiTheme="minorHAnsi" w:eastAsia="Times New Roman" w:hAnsiTheme="minorHAnsi" w:cstheme="minorHAnsi"/>
                <w:b/>
                <w:lang w:eastAsia="it-IT"/>
              </w:rPr>
              <w:t xml:space="preserve">A tal fine, occorrerebbe ricomprendere nell’ambito applicativo delle disposizioni sopra richiamate tutti i Comuni indicati </w:t>
            </w:r>
            <w:r w:rsidR="004D59F7">
              <w:rPr>
                <w:rFonts w:asciiTheme="minorHAnsi" w:eastAsia="Times New Roman" w:hAnsiTheme="minorHAnsi" w:cstheme="minorHAnsi"/>
                <w:b/>
                <w:lang w:eastAsia="it-IT"/>
              </w:rPr>
              <w:t>nell'Allegato 1 di cui all'art. 3, comma 7, del D.L. 74/2012 e non ricompresi nel D.M. 1 giugno 2012.</w:t>
            </w:r>
          </w:p>
          <w:p w:rsidR="003A4A57" w:rsidRPr="003A4A57" w:rsidRDefault="003A4A57" w:rsidP="003A4A57">
            <w:pPr>
              <w:spacing w:after="120"/>
              <w:jc w:val="both"/>
              <w:rPr>
                <w:rFonts w:asciiTheme="minorHAnsi" w:eastAsia="Times New Roman" w:hAnsiTheme="minorHAnsi" w:cstheme="minorHAnsi"/>
                <w:iCs/>
                <w:lang w:eastAsia="it-IT"/>
              </w:rPr>
            </w:pPr>
            <w:r w:rsidRPr="003A4A57">
              <w:rPr>
                <w:rFonts w:asciiTheme="minorHAnsi" w:eastAsia="Times New Roman" w:hAnsiTheme="minorHAnsi" w:cstheme="minorHAnsi"/>
                <w:b/>
                <w:lang w:eastAsia="it-IT"/>
              </w:rPr>
              <w:t>Si sottolinea, infine, che tutti i termini di sospensione sopraddetti (per adempimenti e versamenti, amministrativi e processuali) dovrebbero essere, già in sede di conversione del D.L., prorogati quantomeno sino al 31 dicembre 2012.</w:t>
            </w:r>
          </w:p>
        </w:tc>
      </w:tr>
    </w:tbl>
    <w:p w:rsidR="004C5B14" w:rsidRDefault="004C5B14">
      <w:pPr>
        <w:spacing w:after="0"/>
        <w:rPr>
          <w:rFonts w:asciiTheme="minorHAnsi" w:eastAsia="Calibri" w:hAnsiTheme="minorHAnsi" w:cstheme="minorHAnsi"/>
        </w:rPr>
      </w:pPr>
    </w:p>
    <w:p w:rsidR="004B36BE" w:rsidRPr="004C5B14" w:rsidRDefault="004B36BE">
      <w:pPr>
        <w:spacing w:after="0"/>
        <w:rPr>
          <w:rFonts w:asciiTheme="minorHAnsi" w:eastAsia="Calibri" w:hAnsiTheme="minorHAnsi" w:cstheme="minorHAnsi"/>
        </w:rPr>
      </w:pPr>
    </w:p>
    <w:sectPr w:rsidR="004B36BE" w:rsidRPr="004C5B14" w:rsidSect="00E946E9">
      <w:headerReference w:type="default" r:id="rId8"/>
      <w:footerReference w:type="default" r:id="rId9"/>
      <w:headerReference w:type="first" r:id="rId10"/>
      <w:pgSz w:w="11900" w:h="16840"/>
      <w:pgMar w:top="1985" w:right="1418" w:bottom="1701" w:left="1418" w:header="0" w:footer="1956"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6AF" w:rsidRDefault="00E826AF">
      <w:pPr>
        <w:spacing w:after="0"/>
      </w:pPr>
      <w:r>
        <w:separator/>
      </w:r>
    </w:p>
  </w:endnote>
  <w:endnote w:type="continuationSeparator" w:id="0">
    <w:p w:rsidR="00E826AF" w:rsidRDefault="00E826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6AF" w:rsidRDefault="00E826AF" w:rsidP="009C6C8B">
    <w:pPr>
      <w:pStyle w:val="Pidipagina"/>
      <w:ind w:left="-1134"/>
    </w:pPr>
    <w:r>
      <w:rPr>
        <w:noProof/>
        <w:lang w:eastAsia="it-IT"/>
      </w:rPr>
      <mc:AlternateContent>
        <mc:Choice Requires="wps">
          <w:drawing>
            <wp:anchor distT="0" distB="0" distL="114300" distR="114300" simplePos="0" relativeHeight="251656704" behindDoc="0" locked="0" layoutInCell="1" allowOverlap="1" wp14:anchorId="2B035EA7" wp14:editId="3B52E76A">
              <wp:simplePos x="0" y="0"/>
              <wp:positionH relativeFrom="page">
                <wp:posOffset>4569460</wp:posOffset>
              </wp:positionH>
              <wp:positionV relativeFrom="page">
                <wp:posOffset>9641205</wp:posOffset>
              </wp:positionV>
              <wp:extent cx="2085340" cy="224790"/>
              <wp:effectExtent l="0" t="1905" r="3175" b="1905"/>
              <wp:wrapTight wrapText="bothSides">
                <wp:wrapPolygon edited="0">
                  <wp:start x="-99" y="0"/>
                  <wp:lineTo x="-99" y="19831"/>
                  <wp:lineTo x="21600" y="19831"/>
                  <wp:lineTo x="21600" y="0"/>
                  <wp:lineTo x="-99" y="0"/>
                </wp:wrapPolygon>
              </wp:wrapTight>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340" cy="224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26AF" w:rsidRPr="00E379B0" w:rsidRDefault="00E826AF" w:rsidP="009C6C8B">
                          <w:pPr>
                            <w:pStyle w:val="Pidipagina"/>
                            <w:jc w:val="right"/>
                            <w:rPr>
                              <w:rFonts w:ascii="Arial" w:hAnsi="Arial" w:cs="Arial"/>
                              <w:sz w:val="16"/>
                              <w:szCs w:val="16"/>
                            </w:rPr>
                          </w:pPr>
                          <w:r>
                            <w:rPr>
                              <w:rFonts w:ascii="Arial" w:hAnsi="Arial" w:cs="Arial"/>
                              <w:sz w:val="16"/>
                              <w:szCs w:val="16"/>
                            </w:rPr>
                            <w:t>p</w:t>
                          </w:r>
                          <w:r w:rsidRPr="00E379B0">
                            <w:rPr>
                              <w:rFonts w:ascii="Arial" w:hAnsi="Arial" w:cs="Arial"/>
                              <w:sz w:val="16"/>
                              <w:szCs w:val="16"/>
                            </w:rPr>
                            <w:t xml:space="preserve">ag. </w:t>
                          </w:r>
                          <w:r w:rsidRPr="00E379B0">
                            <w:rPr>
                              <w:rFonts w:ascii="Arial" w:hAnsi="Arial" w:cs="Arial"/>
                              <w:sz w:val="16"/>
                              <w:szCs w:val="16"/>
                            </w:rPr>
                            <w:fldChar w:fldCharType="begin"/>
                          </w:r>
                          <w:r w:rsidRPr="00E379B0">
                            <w:rPr>
                              <w:rFonts w:ascii="Arial" w:hAnsi="Arial" w:cs="Arial"/>
                              <w:sz w:val="16"/>
                              <w:szCs w:val="16"/>
                            </w:rPr>
                            <w:instrText xml:space="preserve"> PAGE   \* MERGEFORMAT </w:instrText>
                          </w:r>
                          <w:r w:rsidRPr="00E379B0">
                            <w:rPr>
                              <w:rFonts w:ascii="Arial" w:hAnsi="Arial" w:cs="Arial"/>
                              <w:sz w:val="16"/>
                              <w:szCs w:val="16"/>
                            </w:rPr>
                            <w:fldChar w:fldCharType="separate"/>
                          </w:r>
                          <w:r w:rsidR="00F85BAE">
                            <w:rPr>
                              <w:rFonts w:ascii="Arial" w:hAnsi="Arial" w:cs="Arial"/>
                              <w:noProof/>
                              <w:sz w:val="16"/>
                              <w:szCs w:val="16"/>
                            </w:rPr>
                            <w:t>10</w:t>
                          </w:r>
                          <w:r w:rsidRPr="00E379B0">
                            <w:rPr>
                              <w:rFonts w:ascii="Arial" w:hAnsi="Arial" w:cs="Arial"/>
                              <w:sz w:val="16"/>
                              <w:szCs w:val="16"/>
                            </w:rPr>
                            <w:fldChar w:fldCharType="end"/>
                          </w:r>
                        </w:p>
                      </w:txbxContent>
                    </wps:txbx>
                    <wps:bodyPr rot="0" vert="horz" wrap="square" lIns="9144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59.8pt;margin-top:759.15pt;width:164.2pt;height:17.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" stroked="f">
              <v:textbox inset=",,0">
                <w:txbxContent>
                  <w:p w:rsidR="00E826AF" w:rsidRPr="00E379B0" w:rsidRDefault="00E826AF" w:rsidP="009C6C8B">
                    <w:pPr>
                      <w:pStyle w:val="Pidipagina"/>
                      <w:jc w:val="right"/>
                      <w:rPr>
                        <w:rFonts w:ascii="Arial" w:hAnsi="Arial" w:cs="Arial"/>
                        <w:sz w:val="16"/>
                        <w:szCs w:val="16"/>
                      </w:rPr>
                    </w:pPr>
                    <w:r>
                      <w:rPr>
                        <w:rFonts w:ascii="Arial" w:hAnsi="Arial" w:cs="Arial"/>
                        <w:sz w:val="16"/>
                        <w:szCs w:val="16"/>
                      </w:rPr>
                      <w:t>p</w:t>
                    </w:r>
                    <w:r w:rsidRPr="00E379B0">
                      <w:rPr>
                        <w:rFonts w:ascii="Arial" w:hAnsi="Arial" w:cs="Arial"/>
                        <w:sz w:val="16"/>
                        <w:szCs w:val="16"/>
                      </w:rPr>
                      <w:t xml:space="preserve">ag. </w:t>
                    </w:r>
                    <w:r w:rsidRPr="00E379B0">
                      <w:rPr>
                        <w:rFonts w:ascii="Arial" w:hAnsi="Arial" w:cs="Arial"/>
                        <w:sz w:val="16"/>
                        <w:szCs w:val="16"/>
                      </w:rPr>
                      <w:fldChar w:fldCharType="begin"/>
                    </w:r>
                    <w:r w:rsidRPr="00E379B0">
                      <w:rPr>
                        <w:rFonts w:ascii="Arial" w:hAnsi="Arial" w:cs="Arial"/>
                        <w:sz w:val="16"/>
                        <w:szCs w:val="16"/>
                      </w:rPr>
                      <w:instrText xml:space="preserve"> PAGE   \* MERGEFORMAT </w:instrText>
                    </w:r>
                    <w:r w:rsidRPr="00E379B0">
                      <w:rPr>
                        <w:rFonts w:ascii="Arial" w:hAnsi="Arial" w:cs="Arial"/>
                        <w:sz w:val="16"/>
                        <w:szCs w:val="16"/>
                      </w:rPr>
                      <w:fldChar w:fldCharType="separate"/>
                    </w:r>
                    <w:r w:rsidR="00F85BAE">
                      <w:rPr>
                        <w:rFonts w:ascii="Arial" w:hAnsi="Arial" w:cs="Arial"/>
                        <w:noProof/>
                        <w:sz w:val="16"/>
                        <w:szCs w:val="16"/>
                      </w:rPr>
                      <w:t>10</w:t>
                    </w:r>
                    <w:r w:rsidRPr="00E379B0">
                      <w:rPr>
                        <w:rFonts w:ascii="Arial" w:hAnsi="Arial" w:cs="Arial"/>
                        <w:sz w:val="16"/>
                        <w:szCs w:val="16"/>
                      </w:rPr>
                      <w:fldChar w:fldCharType="end"/>
                    </w:r>
                  </w:p>
                </w:txbxContent>
              </v:textbox>
              <w10:wrap type="tight"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6AF" w:rsidRDefault="00E826AF">
      <w:pPr>
        <w:spacing w:after="0"/>
      </w:pPr>
      <w:r>
        <w:separator/>
      </w:r>
    </w:p>
  </w:footnote>
  <w:footnote w:type="continuationSeparator" w:id="0">
    <w:p w:rsidR="00E826AF" w:rsidRDefault="00E826A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6AF" w:rsidRDefault="00E826AF" w:rsidP="009C6C8B">
    <w:pPr>
      <w:pStyle w:val="Intestazione"/>
      <w:ind w:left="-1134"/>
    </w:pPr>
    <w:bookmarkStart w:id="1" w:name="_MacBuGuideStaticData_10480V"/>
    <w:r>
      <w:rPr>
        <w:noProof/>
        <w:lang w:eastAsia="it-IT"/>
      </w:rPr>
      <w:drawing>
        <wp:anchor distT="0" distB="0" distL="114300" distR="114300" simplePos="0" relativeHeight="251658752" behindDoc="0" locked="0" layoutInCell="1" allowOverlap="1" wp14:anchorId="269EEEFA" wp14:editId="3A42AD69">
          <wp:simplePos x="0" y="0"/>
          <wp:positionH relativeFrom="page">
            <wp:posOffset>0</wp:posOffset>
          </wp:positionH>
          <wp:positionV relativeFrom="page">
            <wp:posOffset>0</wp:posOffset>
          </wp:positionV>
          <wp:extent cx="7560310" cy="1078865"/>
          <wp:effectExtent l="0" t="0" r="2540" b="6985"/>
          <wp:wrapTight wrapText="bothSides">
            <wp:wrapPolygon edited="0">
              <wp:start x="0" y="0"/>
              <wp:lineTo x="0" y="21358"/>
              <wp:lineTo x="21553" y="21358"/>
              <wp:lineTo x="21553" y="0"/>
              <wp:lineTo x="0" y="0"/>
            </wp:wrapPolygon>
          </wp:wrapTight>
          <wp:docPr id="11" name="Immagine 11" descr="ANCE intestazione le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NCE intestazione lette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7886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6AF" w:rsidRDefault="00E826AF">
    <w:pPr>
      <w:pStyle w:val="Intestazione"/>
    </w:pPr>
    <w:bookmarkStart w:id="2" w:name="_MacBuGuideStaticData_15187H"/>
    <w:r>
      <w:t>19/06/2012 17:12</w:t>
    </w:r>
    <w:r>
      <w:rPr>
        <w:noProof/>
        <w:lang w:eastAsia="it-IT"/>
      </w:rPr>
      <w:drawing>
        <wp:anchor distT="0" distB="0" distL="114300" distR="114300" simplePos="0" relativeHeight="251657728" behindDoc="0" locked="0" layoutInCell="1" allowOverlap="1" wp14:anchorId="76849091" wp14:editId="56AAFA51">
          <wp:simplePos x="0" y="0"/>
          <wp:positionH relativeFrom="page">
            <wp:posOffset>0</wp:posOffset>
          </wp:positionH>
          <wp:positionV relativeFrom="page">
            <wp:posOffset>0</wp:posOffset>
          </wp:positionV>
          <wp:extent cx="7560310" cy="1078865"/>
          <wp:effectExtent l="0" t="0" r="2540" b="6985"/>
          <wp:wrapTight wrapText="bothSides">
            <wp:wrapPolygon edited="0">
              <wp:start x="0" y="0"/>
              <wp:lineTo x="0" y="21358"/>
              <wp:lineTo x="21553" y="21358"/>
              <wp:lineTo x="21553" y="0"/>
              <wp:lineTo x="0" y="0"/>
            </wp:wrapPolygon>
          </wp:wrapTight>
          <wp:docPr id="10" name="Immagine 10" descr="ANCE intestazione le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NCE intestazione lette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7886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A57E3D30"/>
    <w:lvl w:ilvl="0">
      <w:start w:val="1"/>
      <w:numFmt w:val="bullet"/>
      <w:lvlText w:val=""/>
      <w:lvlJc w:val="left"/>
      <w:pPr>
        <w:tabs>
          <w:tab w:val="num" w:pos="1492"/>
        </w:tabs>
        <w:ind w:left="1492" w:hanging="360"/>
      </w:pPr>
      <w:rPr>
        <w:rFonts w:ascii="Symbol" w:hAnsi="Symbol" w:hint="default"/>
      </w:rPr>
    </w:lvl>
  </w:abstractNum>
  <w:abstractNum w:abstractNumId="1">
    <w:nsid w:val="00364DD5"/>
    <w:multiLevelType w:val="hybridMultilevel"/>
    <w:tmpl w:val="3654B0D4"/>
    <w:lvl w:ilvl="0" w:tplc="0FA0F310">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nsid w:val="04042BDD"/>
    <w:multiLevelType w:val="hybridMultilevel"/>
    <w:tmpl w:val="24A886E0"/>
    <w:lvl w:ilvl="0" w:tplc="1A42BAE2">
      <w:numFmt w:val="bullet"/>
      <w:lvlText w:val="-"/>
      <w:lvlJc w:val="left"/>
      <w:pPr>
        <w:ind w:left="1776" w:hanging="360"/>
      </w:pPr>
      <w:rPr>
        <w:rFonts w:ascii="Calibri" w:eastAsia="Calibri" w:hAnsi="Calibri" w:cs="Calibri" w:hint="default"/>
      </w:rPr>
    </w:lvl>
    <w:lvl w:ilvl="1" w:tplc="04100003">
      <w:start w:val="1"/>
      <w:numFmt w:val="bullet"/>
      <w:lvlText w:val="o"/>
      <w:lvlJc w:val="left"/>
      <w:pPr>
        <w:ind w:left="2496" w:hanging="360"/>
      </w:pPr>
      <w:rPr>
        <w:rFonts w:ascii="Courier New" w:hAnsi="Courier New" w:cs="Courier New" w:hint="default"/>
      </w:rPr>
    </w:lvl>
    <w:lvl w:ilvl="2" w:tplc="04100005">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3">
    <w:nsid w:val="041553EA"/>
    <w:multiLevelType w:val="hybridMultilevel"/>
    <w:tmpl w:val="9552D31C"/>
    <w:lvl w:ilvl="0" w:tplc="5E6E30D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45C658B"/>
    <w:multiLevelType w:val="hybridMultilevel"/>
    <w:tmpl w:val="A1F0141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nsid w:val="1382149A"/>
    <w:multiLevelType w:val="hybridMultilevel"/>
    <w:tmpl w:val="D26C258C"/>
    <w:lvl w:ilvl="0" w:tplc="B8E47220">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CEB2472"/>
    <w:multiLevelType w:val="hybridMultilevel"/>
    <w:tmpl w:val="A6DA96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4EA4D95"/>
    <w:multiLevelType w:val="hybridMultilevel"/>
    <w:tmpl w:val="EF6CB41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9531D25"/>
    <w:multiLevelType w:val="hybridMultilevel"/>
    <w:tmpl w:val="ECDA015C"/>
    <w:lvl w:ilvl="0" w:tplc="54DCFF6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7742B2C"/>
    <w:multiLevelType w:val="hybridMultilevel"/>
    <w:tmpl w:val="B7086366"/>
    <w:lvl w:ilvl="0" w:tplc="6406973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47694B89"/>
    <w:multiLevelType w:val="hybridMultilevel"/>
    <w:tmpl w:val="FCC808AE"/>
    <w:lvl w:ilvl="0" w:tplc="7C5EB598">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8B519B2"/>
    <w:multiLevelType w:val="hybridMultilevel"/>
    <w:tmpl w:val="BF3271F0"/>
    <w:lvl w:ilvl="0" w:tplc="9BB28AA8">
      <w:start w:val="4"/>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A1F4220"/>
    <w:multiLevelType w:val="hybridMultilevel"/>
    <w:tmpl w:val="A4467B78"/>
    <w:lvl w:ilvl="0" w:tplc="27567ADA">
      <w:start w:val="1"/>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D370520"/>
    <w:multiLevelType w:val="hybridMultilevel"/>
    <w:tmpl w:val="A22AC1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C4F7E9F"/>
    <w:multiLevelType w:val="hybridMultilevel"/>
    <w:tmpl w:val="3CD05762"/>
    <w:lvl w:ilvl="0" w:tplc="450ADCE8">
      <w:numFmt w:val="bullet"/>
      <w:lvlText w:val="-"/>
      <w:lvlJc w:val="left"/>
      <w:pPr>
        <w:ind w:left="1778" w:hanging="360"/>
      </w:pPr>
      <w:rPr>
        <w:rFonts w:ascii="Calibri" w:eastAsia="Calibri" w:hAnsi="Calibri" w:cs="Calibri" w:hint="defaul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5">
    <w:nsid w:val="605B3D9E"/>
    <w:multiLevelType w:val="hybridMultilevel"/>
    <w:tmpl w:val="EDFCA2AC"/>
    <w:lvl w:ilvl="0" w:tplc="37D8DADC">
      <w:start w:val="1"/>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7695BE7"/>
    <w:multiLevelType w:val="hybridMultilevel"/>
    <w:tmpl w:val="1114813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
  </w:num>
  <w:num w:numId="4">
    <w:abstractNumId w:val="14"/>
  </w:num>
  <w:num w:numId="5">
    <w:abstractNumId w:val="8"/>
  </w:num>
  <w:num w:numId="6">
    <w:abstractNumId w:val="7"/>
  </w:num>
  <w:num w:numId="7">
    <w:abstractNumId w:val="3"/>
  </w:num>
  <w:num w:numId="8">
    <w:abstractNumId w:val="15"/>
  </w:num>
  <w:num w:numId="9">
    <w:abstractNumId w:val="12"/>
  </w:num>
  <w:num w:numId="10">
    <w:abstractNumId w:val="5"/>
  </w:num>
  <w:num w:numId="11">
    <w:abstractNumId w:val="10"/>
  </w:num>
  <w:num w:numId="12">
    <w:abstractNumId w:val="1"/>
  </w:num>
  <w:num w:numId="13">
    <w:abstractNumId w:val="11"/>
  </w:num>
  <w:num w:numId="14">
    <w:abstractNumId w:val="16"/>
  </w:num>
  <w:num w:numId="15">
    <w:abstractNumId w:val="13"/>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1"/>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4577">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StaticGuides" w:val="1"/>
  </w:docVars>
  <w:rsids>
    <w:rsidRoot w:val="00D20A26"/>
    <w:rsid w:val="00011D34"/>
    <w:rsid w:val="00067AB6"/>
    <w:rsid w:val="000705F0"/>
    <w:rsid w:val="00082A63"/>
    <w:rsid w:val="00083253"/>
    <w:rsid w:val="00092169"/>
    <w:rsid w:val="000C2D04"/>
    <w:rsid w:val="000C4114"/>
    <w:rsid w:val="000E2E19"/>
    <w:rsid w:val="001049EF"/>
    <w:rsid w:val="00125C51"/>
    <w:rsid w:val="001261F8"/>
    <w:rsid w:val="001427EA"/>
    <w:rsid w:val="001502E5"/>
    <w:rsid w:val="0015339F"/>
    <w:rsid w:val="00154F7B"/>
    <w:rsid w:val="00170516"/>
    <w:rsid w:val="001761AC"/>
    <w:rsid w:val="001855E2"/>
    <w:rsid w:val="00196298"/>
    <w:rsid w:val="001C75B6"/>
    <w:rsid w:val="001D73BB"/>
    <w:rsid w:val="00200C88"/>
    <w:rsid w:val="002202A2"/>
    <w:rsid w:val="002443D2"/>
    <w:rsid w:val="002534A7"/>
    <w:rsid w:val="0025486A"/>
    <w:rsid w:val="0026072B"/>
    <w:rsid w:val="0027068D"/>
    <w:rsid w:val="00277BBE"/>
    <w:rsid w:val="00292940"/>
    <w:rsid w:val="002B4668"/>
    <w:rsid w:val="002B6DE9"/>
    <w:rsid w:val="002E1C20"/>
    <w:rsid w:val="002E1E4C"/>
    <w:rsid w:val="002E3C46"/>
    <w:rsid w:val="002E6D5C"/>
    <w:rsid w:val="002F04BE"/>
    <w:rsid w:val="00310C4D"/>
    <w:rsid w:val="003553D7"/>
    <w:rsid w:val="0036600E"/>
    <w:rsid w:val="003720E2"/>
    <w:rsid w:val="003800EB"/>
    <w:rsid w:val="00382111"/>
    <w:rsid w:val="00382E16"/>
    <w:rsid w:val="00390086"/>
    <w:rsid w:val="0039461D"/>
    <w:rsid w:val="003A47B2"/>
    <w:rsid w:val="003A4A57"/>
    <w:rsid w:val="003D019C"/>
    <w:rsid w:val="003D0BE6"/>
    <w:rsid w:val="003E01A7"/>
    <w:rsid w:val="003E022B"/>
    <w:rsid w:val="003E530D"/>
    <w:rsid w:val="00403135"/>
    <w:rsid w:val="00417813"/>
    <w:rsid w:val="004222D9"/>
    <w:rsid w:val="004232C5"/>
    <w:rsid w:val="00425063"/>
    <w:rsid w:val="00427664"/>
    <w:rsid w:val="004542D2"/>
    <w:rsid w:val="0045667B"/>
    <w:rsid w:val="00457795"/>
    <w:rsid w:val="004B2E6A"/>
    <w:rsid w:val="004B36BE"/>
    <w:rsid w:val="004C1EFE"/>
    <w:rsid w:val="004C43E8"/>
    <w:rsid w:val="004C5B14"/>
    <w:rsid w:val="004D59F7"/>
    <w:rsid w:val="004D6E34"/>
    <w:rsid w:val="005056A7"/>
    <w:rsid w:val="00515491"/>
    <w:rsid w:val="00520267"/>
    <w:rsid w:val="00547508"/>
    <w:rsid w:val="00565C3E"/>
    <w:rsid w:val="00590C1E"/>
    <w:rsid w:val="00591314"/>
    <w:rsid w:val="005C0775"/>
    <w:rsid w:val="005C3923"/>
    <w:rsid w:val="005D71D3"/>
    <w:rsid w:val="00602649"/>
    <w:rsid w:val="00602EAF"/>
    <w:rsid w:val="00605F31"/>
    <w:rsid w:val="006150AA"/>
    <w:rsid w:val="00660545"/>
    <w:rsid w:val="00686E6D"/>
    <w:rsid w:val="006C1D03"/>
    <w:rsid w:val="006F7A9D"/>
    <w:rsid w:val="00716512"/>
    <w:rsid w:val="00735F85"/>
    <w:rsid w:val="00737912"/>
    <w:rsid w:val="00745794"/>
    <w:rsid w:val="00773129"/>
    <w:rsid w:val="007861B7"/>
    <w:rsid w:val="007A0E83"/>
    <w:rsid w:val="007A3A6D"/>
    <w:rsid w:val="007A58D6"/>
    <w:rsid w:val="007A5D53"/>
    <w:rsid w:val="007B6C70"/>
    <w:rsid w:val="007B7CAF"/>
    <w:rsid w:val="007D777D"/>
    <w:rsid w:val="008202DE"/>
    <w:rsid w:val="0082117D"/>
    <w:rsid w:val="008279F9"/>
    <w:rsid w:val="0084288A"/>
    <w:rsid w:val="008531D1"/>
    <w:rsid w:val="00854433"/>
    <w:rsid w:val="00854E63"/>
    <w:rsid w:val="0086518E"/>
    <w:rsid w:val="00867628"/>
    <w:rsid w:val="008B032E"/>
    <w:rsid w:val="008D1143"/>
    <w:rsid w:val="00905212"/>
    <w:rsid w:val="00917883"/>
    <w:rsid w:val="00927CD1"/>
    <w:rsid w:val="00945912"/>
    <w:rsid w:val="0095107F"/>
    <w:rsid w:val="00960CAB"/>
    <w:rsid w:val="00976169"/>
    <w:rsid w:val="00981C5D"/>
    <w:rsid w:val="0099182E"/>
    <w:rsid w:val="00996E98"/>
    <w:rsid w:val="009972E9"/>
    <w:rsid w:val="00997F6C"/>
    <w:rsid w:val="009A1FAD"/>
    <w:rsid w:val="009B457F"/>
    <w:rsid w:val="009C1D13"/>
    <w:rsid w:val="009C6C8B"/>
    <w:rsid w:val="009D1985"/>
    <w:rsid w:val="009F3E91"/>
    <w:rsid w:val="00A26471"/>
    <w:rsid w:val="00A70BDF"/>
    <w:rsid w:val="00A92A6E"/>
    <w:rsid w:val="00A9484E"/>
    <w:rsid w:val="00AB3088"/>
    <w:rsid w:val="00AB4AB1"/>
    <w:rsid w:val="00B33B7E"/>
    <w:rsid w:val="00B53DDB"/>
    <w:rsid w:val="00B562CC"/>
    <w:rsid w:val="00B83300"/>
    <w:rsid w:val="00B8777A"/>
    <w:rsid w:val="00BE7068"/>
    <w:rsid w:val="00BF5E76"/>
    <w:rsid w:val="00C107CF"/>
    <w:rsid w:val="00C12437"/>
    <w:rsid w:val="00C17E4C"/>
    <w:rsid w:val="00C27D59"/>
    <w:rsid w:val="00C350C6"/>
    <w:rsid w:val="00C36420"/>
    <w:rsid w:val="00C467C6"/>
    <w:rsid w:val="00C86E14"/>
    <w:rsid w:val="00C93401"/>
    <w:rsid w:val="00C97F72"/>
    <w:rsid w:val="00CA6F70"/>
    <w:rsid w:val="00CB6368"/>
    <w:rsid w:val="00CC562E"/>
    <w:rsid w:val="00CD2F9C"/>
    <w:rsid w:val="00CF2A8A"/>
    <w:rsid w:val="00D12627"/>
    <w:rsid w:val="00D20A26"/>
    <w:rsid w:val="00D74300"/>
    <w:rsid w:val="00D81E36"/>
    <w:rsid w:val="00DA40BB"/>
    <w:rsid w:val="00DB03A5"/>
    <w:rsid w:val="00DB4EB8"/>
    <w:rsid w:val="00DD21F3"/>
    <w:rsid w:val="00DE30C2"/>
    <w:rsid w:val="00DF1070"/>
    <w:rsid w:val="00E12B9C"/>
    <w:rsid w:val="00E17619"/>
    <w:rsid w:val="00E208A2"/>
    <w:rsid w:val="00E416B2"/>
    <w:rsid w:val="00E4604B"/>
    <w:rsid w:val="00E57E75"/>
    <w:rsid w:val="00E826AF"/>
    <w:rsid w:val="00E946E9"/>
    <w:rsid w:val="00EB6B24"/>
    <w:rsid w:val="00EC7BB2"/>
    <w:rsid w:val="00EE2A3C"/>
    <w:rsid w:val="00EF3D63"/>
    <w:rsid w:val="00EF5C58"/>
    <w:rsid w:val="00EF7403"/>
    <w:rsid w:val="00EF7608"/>
    <w:rsid w:val="00F0153C"/>
    <w:rsid w:val="00F042E7"/>
    <w:rsid w:val="00F13911"/>
    <w:rsid w:val="00F42CB1"/>
    <w:rsid w:val="00F541FA"/>
    <w:rsid w:val="00F762F7"/>
    <w:rsid w:val="00F859C8"/>
    <w:rsid w:val="00F85BAE"/>
    <w:rsid w:val="00FB3B52"/>
    <w:rsid w:val="00FF6F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enu v:ext="edit" fillcolor="none"/>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15F8F"/>
    <w:pPr>
      <w:spacing w:after="200"/>
    </w:pPr>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20A26"/>
    <w:pPr>
      <w:tabs>
        <w:tab w:val="center" w:pos="4819"/>
        <w:tab w:val="right" w:pos="9638"/>
      </w:tabs>
      <w:spacing w:after="0"/>
    </w:pPr>
  </w:style>
  <w:style w:type="character" w:customStyle="1" w:styleId="IntestazioneCarattere">
    <w:name w:val="Intestazione Carattere"/>
    <w:link w:val="Intestazione"/>
    <w:uiPriority w:val="99"/>
    <w:rsid w:val="00D20A26"/>
    <w:rPr>
      <w:sz w:val="24"/>
      <w:szCs w:val="24"/>
    </w:rPr>
  </w:style>
  <w:style w:type="paragraph" w:styleId="Pidipagina">
    <w:name w:val="footer"/>
    <w:basedOn w:val="Normale"/>
    <w:link w:val="PidipaginaCarattere"/>
    <w:uiPriority w:val="99"/>
    <w:unhideWhenUsed/>
    <w:rsid w:val="00D20A26"/>
    <w:pPr>
      <w:tabs>
        <w:tab w:val="center" w:pos="4819"/>
        <w:tab w:val="right" w:pos="9638"/>
      </w:tabs>
      <w:spacing w:after="0"/>
    </w:pPr>
  </w:style>
  <w:style w:type="character" w:customStyle="1" w:styleId="PidipaginaCarattere">
    <w:name w:val="Piè di pagina Carattere"/>
    <w:link w:val="Pidipagina"/>
    <w:uiPriority w:val="99"/>
    <w:rsid w:val="00D20A26"/>
    <w:rPr>
      <w:sz w:val="24"/>
      <w:szCs w:val="24"/>
    </w:rPr>
  </w:style>
  <w:style w:type="character" w:styleId="Enfasigrassetto">
    <w:name w:val="Strong"/>
    <w:uiPriority w:val="22"/>
    <w:qFormat/>
    <w:rsid w:val="002A4382"/>
    <w:rPr>
      <w:b/>
      <w:bCs/>
    </w:rPr>
  </w:style>
  <w:style w:type="paragraph" w:customStyle="1" w:styleId="Stiletestocorrente">
    <w:name w:val="Stile testo corrente"/>
    <w:basedOn w:val="Normale"/>
    <w:qFormat/>
    <w:rsid w:val="00F74B8A"/>
    <w:pPr>
      <w:spacing w:after="0" w:line="240" w:lineRule="exact"/>
      <w:ind w:left="1588"/>
      <w:contextualSpacing/>
      <w:jc w:val="both"/>
    </w:pPr>
    <w:rPr>
      <w:rFonts w:ascii="Arial" w:hAnsi="Arial"/>
      <w:sz w:val="20"/>
    </w:rPr>
  </w:style>
  <w:style w:type="paragraph" w:styleId="Testofumetto">
    <w:name w:val="Balloon Text"/>
    <w:basedOn w:val="Normale"/>
    <w:link w:val="TestofumettoCarattere"/>
    <w:uiPriority w:val="99"/>
    <w:semiHidden/>
    <w:unhideWhenUsed/>
    <w:rsid w:val="00582E50"/>
    <w:pPr>
      <w:spacing w:after="0"/>
    </w:pPr>
    <w:rPr>
      <w:rFonts w:ascii="Tahoma" w:hAnsi="Tahoma" w:cs="Tahoma"/>
      <w:sz w:val="16"/>
      <w:szCs w:val="16"/>
    </w:rPr>
  </w:style>
  <w:style w:type="character" w:customStyle="1" w:styleId="TestofumettoCarattere">
    <w:name w:val="Testo fumetto Carattere"/>
    <w:link w:val="Testofumetto"/>
    <w:uiPriority w:val="99"/>
    <w:semiHidden/>
    <w:rsid w:val="00582E50"/>
    <w:rPr>
      <w:rFonts w:ascii="Tahoma" w:hAnsi="Tahoma" w:cs="Tahoma"/>
      <w:sz w:val="16"/>
      <w:szCs w:val="16"/>
      <w:lang w:eastAsia="en-US"/>
    </w:rPr>
  </w:style>
  <w:style w:type="character" w:styleId="Numeropagina">
    <w:name w:val="page number"/>
    <w:basedOn w:val="Carpredefinitoparagrafo"/>
    <w:uiPriority w:val="99"/>
    <w:semiHidden/>
    <w:unhideWhenUsed/>
    <w:rsid w:val="00F97E07"/>
  </w:style>
  <w:style w:type="table" w:styleId="Grigliatabella">
    <w:name w:val="Table Grid"/>
    <w:basedOn w:val="Tabellanormale"/>
    <w:uiPriority w:val="59"/>
    <w:rsid w:val="00EF760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e">
    <w:name w:val="Revision"/>
    <w:hidden/>
    <w:uiPriority w:val="99"/>
    <w:semiHidden/>
    <w:rsid w:val="002B4668"/>
    <w:rPr>
      <w:sz w:val="24"/>
      <w:szCs w:val="24"/>
      <w:lang w:eastAsia="en-US"/>
    </w:rPr>
  </w:style>
  <w:style w:type="paragraph" w:styleId="Paragrafoelenco">
    <w:name w:val="List Paragraph"/>
    <w:basedOn w:val="Normale"/>
    <w:uiPriority w:val="34"/>
    <w:qFormat/>
    <w:rsid w:val="00547508"/>
    <w:pPr>
      <w:ind w:left="708"/>
    </w:pPr>
  </w:style>
  <w:style w:type="character" w:styleId="Collegamentoipertestuale">
    <w:name w:val="Hyperlink"/>
    <w:basedOn w:val="Carpredefinitoparagrafo"/>
    <w:uiPriority w:val="99"/>
    <w:unhideWhenUsed/>
    <w:rsid w:val="00125C5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15F8F"/>
    <w:pPr>
      <w:spacing w:after="200"/>
    </w:pPr>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20A26"/>
    <w:pPr>
      <w:tabs>
        <w:tab w:val="center" w:pos="4819"/>
        <w:tab w:val="right" w:pos="9638"/>
      </w:tabs>
      <w:spacing w:after="0"/>
    </w:pPr>
  </w:style>
  <w:style w:type="character" w:customStyle="1" w:styleId="IntestazioneCarattere">
    <w:name w:val="Intestazione Carattere"/>
    <w:link w:val="Intestazione"/>
    <w:uiPriority w:val="99"/>
    <w:rsid w:val="00D20A26"/>
    <w:rPr>
      <w:sz w:val="24"/>
      <w:szCs w:val="24"/>
    </w:rPr>
  </w:style>
  <w:style w:type="paragraph" w:styleId="Pidipagina">
    <w:name w:val="footer"/>
    <w:basedOn w:val="Normale"/>
    <w:link w:val="PidipaginaCarattere"/>
    <w:uiPriority w:val="99"/>
    <w:unhideWhenUsed/>
    <w:rsid w:val="00D20A26"/>
    <w:pPr>
      <w:tabs>
        <w:tab w:val="center" w:pos="4819"/>
        <w:tab w:val="right" w:pos="9638"/>
      </w:tabs>
      <w:spacing w:after="0"/>
    </w:pPr>
  </w:style>
  <w:style w:type="character" w:customStyle="1" w:styleId="PidipaginaCarattere">
    <w:name w:val="Piè di pagina Carattere"/>
    <w:link w:val="Pidipagina"/>
    <w:uiPriority w:val="99"/>
    <w:rsid w:val="00D20A26"/>
    <w:rPr>
      <w:sz w:val="24"/>
      <w:szCs w:val="24"/>
    </w:rPr>
  </w:style>
  <w:style w:type="character" w:styleId="Enfasigrassetto">
    <w:name w:val="Strong"/>
    <w:uiPriority w:val="22"/>
    <w:qFormat/>
    <w:rsid w:val="002A4382"/>
    <w:rPr>
      <w:b/>
      <w:bCs/>
    </w:rPr>
  </w:style>
  <w:style w:type="paragraph" w:customStyle="1" w:styleId="Stiletestocorrente">
    <w:name w:val="Stile testo corrente"/>
    <w:basedOn w:val="Normale"/>
    <w:qFormat/>
    <w:rsid w:val="00F74B8A"/>
    <w:pPr>
      <w:spacing w:after="0" w:line="240" w:lineRule="exact"/>
      <w:ind w:left="1588"/>
      <w:contextualSpacing/>
      <w:jc w:val="both"/>
    </w:pPr>
    <w:rPr>
      <w:rFonts w:ascii="Arial" w:hAnsi="Arial"/>
      <w:sz w:val="20"/>
    </w:rPr>
  </w:style>
  <w:style w:type="paragraph" w:styleId="Testofumetto">
    <w:name w:val="Balloon Text"/>
    <w:basedOn w:val="Normale"/>
    <w:link w:val="TestofumettoCarattere"/>
    <w:uiPriority w:val="99"/>
    <w:semiHidden/>
    <w:unhideWhenUsed/>
    <w:rsid w:val="00582E50"/>
    <w:pPr>
      <w:spacing w:after="0"/>
    </w:pPr>
    <w:rPr>
      <w:rFonts w:ascii="Tahoma" w:hAnsi="Tahoma" w:cs="Tahoma"/>
      <w:sz w:val="16"/>
      <w:szCs w:val="16"/>
    </w:rPr>
  </w:style>
  <w:style w:type="character" w:customStyle="1" w:styleId="TestofumettoCarattere">
    <w:name w:val="Testo fumetto Carattere"/>
    <w:link w:val="Testofumetto"/>
    <w:uiPriority w:val="99"/>
    <w:semiHidden/>
    <w:rsid w:val="00582E50"/>
    <w:rPr>
      <w:rFonts w:ascii="Tahoma" w:hAnsi="Tahoma" w:cs="Tahoma"/>
      <w:sz w:val="16"/>
      <w:szCs w:val="16"/>
      <w:lang w:eastAsia="en-US"/>
    </w:rPr>
  </w:style>
  <w:style w:type="character" w:styleId="Numeropagina">
    <w:name w:val="page number"/>
    <w:basedOn w:val="Carpredefinitoparagrafo"/>
    <w:uiPriority w:val="99"/>
    <w:semiHidden/>
    <w:unhideWhenUsed/>
    <w:rsid w:val="00F97E07"/>
  </w:style>
  <w:style w:type="table" w:styleId="Grigliatabella">
    <w:name w:val="Table Grid"/>
    <w:basedOn w:val="Tabellanormale"/>
    <w:uiPriority w:val="59"/>
    <w:rsid w:val="00EF760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e">
    <w:name w:val="Revision"/>
    <w:hidden/>
    <w:uiPriority w:val="99"/>
    <w:semiHidden/>
    <w:rsid w:val="002B4668"/>
    <w:rPr>
      <w:sz w:val="24"/>
      <w:szCs w:val="24"/>
      <w:lang w:eastAsia="en-US"/>
    </w:rPr>
  </w:style>
  <w:style w:type="paragraph" w:styleId="Paragrafoelenco">
    <w:name w:val="List Paragraph"/>
    <w:basedOn w:val="Normale"/>
    <w:uiPriority w:val="34"/>
    <w:qFormat/>
    <w:rsid w:val="00547508"/>
    <w:pPr>
      <w:ind w:left="708"/>
    </w:pPr>
  </w:style>
  <w:style w:type="character" w:styleId="Collegamentoipertestuale">
    <w:name w:val="Hyperlink"/>
    <w:basedOn w:val="Carpredefinitoparagrafo"/>
    <w:uiPriority w:val="99"/>
    <w:unhideWhenUsed/>
    <w:rsid w:val="00125C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82622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14</Pages>
  <Words>4440</Words>
  <Characters>26764</Characters>
  <Application>Microsoft Office Word</Application>
  <DocSecurity>0</DocSecurity>
  <Lines>223</Lines>
  <Paragraphs>62</Paragraphs>
  <ScaleCrop>false</ScaleCrop>
  <HeadingPairs>
    <vt:vector size="2" baseType="variant">
      <vt:variant>
        <vt:lpstr>Titolo</vt:lpstr>
      </vt:variant>
      <vt:variant>
        <vt:i4>1</vt:i4>
      </vt:variant>
    </vt:vector>
  </HeadingPairs>
  <TitlesOfParts>
    <vt:vector size="1" baseType="lpstr">
      <vt:lpstr>Prot</vt:lpstr>
    </vt:vector>
  </TitlesOfParts>
  <Company>Minedivine Associati Srl</Company>
  <LinksUpToDate>false</LinksUpToDate>
  <CharactersWithSpaces>31142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Alessandro Lessi</dc:creator>
  <cp:lastModifiedBy>Impicciatore Patrizia</cp:lastModifiedBy>
  <cp:revision>7</cp:revision>
  <cp:lastPrinted>2012-06-19T17:06:00Z</cp:lastPrinted>
  <dcterms:created xsi:type="dcterms:W3CDTF">2012-06-19T16:41:00Z</dcterms:created>
  <dcterms:modified xsi:type="dcterms:W3CDTF">2012-06-19T17:16:00Z</dcterms:modified>
</cp:coreProperties>
</file>